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6"/>
        <w:spacing w:after="0"/>
        <w:rPr>
          <w:sz w:val="20"/>
          <w:szCs w:val="20"/>
          <w:color w:val="auto"/>
        </w:rPr>
      </w:pPr>
      <w:r>
        <w:rPr>
          <w:rFonts w:ascii="Courier New" w:cs="Courier New" w:eastAsia="Courier New" w:hAnsi="Courier New"/>
          <w:sz w:val="19"/>
          <w:szCs w:val="19"/>
          <w:color w:val="auto"/>
        </w:rPr>
        <w:t>UNITED STATES</w:t>
      </w:r>
    </w:p>
    <w:p>
      <w:pPr>
        <w:ind w:left="6"/>
        <w:spacing w:after="0" w:line="238" w:lineRule="auto"/>
        <w:rPr>
          <w:sz w:val="20"/>
          <w:szCs w:val="20"/>
          <w:color w:val="auto"/>
        </w:rPr>
      </w:pPr>
      <w:r>
        <w:rPr>
          <w:rFonts w:ascii="Courier New" w:cs="Courier New" w:eastAsia="Courier New" w:hAnsi="Courier New"/>
          <w:sz w:val="19"/>
          <w:szCs w:val="19"/>
          <w:color w:val="auto"/>
        </w:rPr>
        <w:t>SECURITIES AND EXCHANGE COMMISSION</w:t>
      </w:r>
    </w:p>
    <w:p>
      <w:pPr>
        <w:ind w:left="6"/>
        <w:spacing w:after="0"/>
        <w:rPr>
          <w:sz w:val="20"/>
          <w:szCs w:val="20"/>
          <w:color w:val="auto"/>
        </w:rPr>
      </w:pPr>
      <w:r>
        <w:rPr>
          <w:rFonts w:ascii="Courier New" w:cs="Courier New" w:eastAsia="Courier New" w:hAnsi="Courier New"/>
          <w:sz w:val="19"/>
          <w:szCs w:val="19"/>
          <w:color w:val="auto"/>
        </w:rPr>
        <w:t>Washington, D.C. 20549</w:t>
      </w:r>
    </w:p>
    <w:p>
      <w:pPr>
        <w:ind w:left="6"/>
        <w:spacing w:after="0" w:line="237" w:lineRule="auto"/>
        <w:rPr>
          <w:sz w:val="20"/>
          <w:szCs w:val="20"/>
          <w:color w:val="auto"/>
        </w:rPr>
      </w:pPr>
      <w:r>
        <w:rPr>
          <w:rFonts w:ascii="Courier New" w:cs="Courier New" w:eastAsia="Courier New" w:hAnsi="Courier New"/>
          <w:sz w:val="19"/>
          <w:szCs w:val="19"/>
          <w:color w:val="auto"/>
        </w:rPr>
        <w:t>SCHEDULE 13G</w:t>
      </w:r>
    </w:p>
    <w:p>
      <w:pPr>
        <w:spacing w:after="0" w:line="213" w:lineRule="exact"/>
        <w:rPr>
          <w:sz w:val="24"/>
          <w:szCs w:val="24"/>
          <w:color w:val="auto"/>
        </w:rPr>
      </w:pPr>
    </w:p>
    <w:p>
      <w:pPr>
        <w:ind w:left="6"/>
        <w:spacing w:after="0"/>
        <w:rPr>
          <w:sz w:val="20"/>
          <w:szCs w:val="20"/>
          <w:color w:val="auto"/>
        </w:rPr>
      </w:pPr>
      <w:r>
        <w:rPr>
          <w:rFonts w:ascii="Courier New" w:cs="Courier New" w:eastAsia="Courier New" w:hAnsi="Courier New"/>
          <w:sz w:val="19"/>
          <w:szCs w:val="19"/>
          <w:color w:val="auto"/>
        </w:rPr>
        <w:t>Under the Securities Exchange Act of 1934</w:t>
      </w:r>
    </w:p>
    <w:p>
      <w:pPr>
        <w:spacing w:after="0" w:line="213" w:lineRule="exact"/>
        <w:rPr>
          <w:sz w:val="24"/>
          <w:szCs w:val="24"/>
          <w:color w:val="auto"/>
        </w:rPr>
      </w:pPr>
    </w:p>
    <w:p>
      <w:pPr>
        <w:ind w:left="6"/>
        <w:spacing w:after="0"/>
        <w:rPr>
          <w:sz w:val="20"/>
          <w:szCs w:val="20"/>
          <w:color w:val="auto"/>
        </w:rPr>
      </w:pPr>
      <w:r>
        <w:rPr>
          <w:rFonts w:ascii="Courier New" w:cs="Courier New" w:eastAsia="Courier New" w:hAnsi="Courier New"/>
          <w:sz w:val="19"/>
          <w:szCs w:val="19"/>
          <w:color w:val="auto"/>
        </w:rPr>
        <w:t>(Amendment No. 5)</w:t>
      </w:r>
    </w:p>
    <w:p>
      <w:pPr>
        <w:spacing w:after="0" w:line="213" w:lineRule="exact"/>
        <w:rPr>
          <w:sz w:val="24"/>
          <w:szCs w:val="24"/>
          <w:color w:val="auto"/>
        </w:rPr>
      </w:pPr>
    </w:p>
    <w:p>
      <w:pPr>
        <w:ind w:left="6"/>
        <w:spacing w:after="0"/>
        <w:rPr>
          <w:sz w:val="20"/>
          <w:szCs w:val="20"/>
          <w:color w:val="auto"/>
        </w:rPr>
      </w:pPr>
      <w:r>
        <w:rPr>
          <w:rFonts w:ascii="Courier New" w:cs="Courier New" w:eastAsia="Courier New" w:hAnsi="Courier New"/>
          <w:sz w:val="19"/>
          <w:szCs w:val="19"/>
          <w:color w:val="auto"/>
        </w:rPr>
        <w:t>Lantheus Holdings, Inc.</w:t>
      </w:r>
    </w:p>
    <w:p>
      <w:pPr>
        <w:ind w:left="6"/>
        <w:spacing w:after="0" w:line="238" w:lineRule="auto"/>
        <w:rPr>
          <w:sz w:val="20"/>
          <w:szCs w:val="20"/>
          <w:color w:val="auto"/>
        </w:rPr>
      </w:pPr>
      <w:r>
        <w:rPr>
          <w:rFonts w:ascii="Courier New" w:cs="Courier New" w:eastAsia="Courier New" w:hAnsi="Courier New"/>
          <w:sz w:val="19"/>
          <w:szCs w:val="19"/>
          <w:color w:val="auto"/>
        </w:rPr>
        <w:t>(Name of Issuer)</w:t>
      </w:r>
    </w:p>
    <w:p>
      <w:pPr>
        <w:spacing w:after="0" w:line="213" w:lineRule="exact"/>
        <w:rPr>
          <w:sz w:val="24"/>
          <w:szCs w:val="24"/>
          <w:color w:val="auto"/>
        </w:rPr>
      </w:pPr>
    </w:p>
    <w:p>
      <w:pPr>
        <w:ind w:left="6"/>
        <w:spacing w:after="0"/>
        <w:rPr>
          <w:sz w:val="20"/>
          <w:szCs w:val="20"/>
          <w:color w:val="auto"/>
        </w:rPr>
      </w:pPr>
      <w:r>
        <w:rPr>
          <w:rFonts w:ascii="Courier New" w:cs="Courier New" w:eastAsia="Courier New" w:hAnsi="Courier New"/>
          <w:sz w:val="19"/>
          <w:szCs w:val="19"/>
          <w:color w:val="auto"/>
        </w:rPr>
        <w:t>COMMON STOCK</w:t>
      </w:r>
    </w:p>
    <w:p>
      <w:pPr>
        <w:ind w:left="6"/>
        <w:spacing w:after="0" w:line="238" w:lineRule="auto"/>
        <w:rPr>
          <w:sz w:val="20"/>
          <w:szCs w:val="20"/>
          <w:color w:val="auto"/>
        </w:rPr>
      </w:pPr>
      <w:r>
        <w:rPr>
          <w:rFonts w:ascii="Courier New" w:cs="Courier New" w:eastAsia="Courier New" w:hAnsi="Courier New"/>
          <w:sz w:val="19"/>
          <w:szCs w:val="19"/>
          <w:color w:val="auto"/>
        </w:rPr>
        <w:t>(Title of Class of Securities)</w:t>
      </w:r>
    </w:p>
    <w:p>
      <w:pPr>
        <w:spacing w:after="0" w:line="213" w:lineRule="exact"/>
        <w:rPr>
          <w:sz w:val="24"/>
          <w:szCs w:val="24"/>
          <w:color w:val="auto"/>
        </w:rPr>
      </w:pPr>
    </w:p>
    <w:p>
      <w:pPr>
        <w:ind w:left="6"/>
        <w:spacing w:after="0"/>
        <w:rPr>
          <w:sz w:val="20"/>
          <w:szCs w:val="20"/>
          <w:color w:val="auto"/>
        </w:rPr>
      </w:pPr>
      <w:r>
        <w:rPr>
          <w:rFonts w:ascii="Courier New" w:cs="Courier New" w:eastAsia="Courier New" w:hAnsi="Courier New"/>
          <w:sz w:val="19"/>
          <w:szCs w:val="19"/>
          <w:color w:val="auto"/>
        </w:rPr>
        <w:t>516544103</w:t>
      </w:r>
    </w:p>
    <w:p>
      <w:pPr>
        <w:ind w:left="6"/>
        <w:spacing w:after="0" w:line="238" w:lineRule="auto"/>
        <w:rPr>
          <w:sz w:val="20"/>
          <w:szCs w:val="20"/>
          <w:color w:val="auto"/>
        </w:rPr>
      </w:pPr>
      <w:r>
        <w:rPr>
          <w:rFonts w:ascii="Courier New" w:cs="Courier New" w:eastAsia="Courier New" w:hAnsi="Courier New"/>
          <w:sz w:val="19"/>
          <w:szCs w:val="19"/>
          <w:color w:val="auto"/>
        </w:rPr>
        <w:t>(CUSIP NUMBER)</w:t>
      </w:r>
    </w:p>
    <w:p>
      <w:pPr>
        <w:spacing w:after="0" w:line="213" w:lineRule="exact"/>
        <w:rPr>
          <w:sz w:val="24"/>
          <w:szCs w:val="24"/>
          <w:color w:val="auto"/>
        </w:rPr>
      </w:pPr>
    </w:p>
    <w:p>
      <w:pPr>
        <w:ind w:left="6"/>
        <w:spacing w:after="0"/>
        <w:rPr>
          <w:sz w:val="20"/>
          <w:szCs w:val="20"/>
          <w:color w:val="auto"/>
        </w:rPr>
      </w:pPr>
      <w:r>
        <w:rPr>
          <w:rFonts w:ascii="Courier New" w:cs="Courier New" w:eastAsia="Courier New" w:hAnsi="Courier New"/>
          <w:sz w:val="19"/>
          <w:szCs w:val="19"/>
          <w:color w:val="auto"/>
        </w:rPr>
        <w:t>December 31, 2018</w:t>
      </w:r>
    </w:p>
    <w:p>
      <w:pPr>
        <w:ind w:left="6"/>
        <w:spacing w:after="0" w:line="238" w:lineRule="auto"/>
        <w:rPr>
          <w:sz w:val="20"/>
          <w:szCs w:val="20"/>
          <w:color w:val="auto"/>
        </w:rPr>
      </w:pPr>
      <w:r>
        <w:rPr>
          <w:rFonts w:ascii="Courier New" w:cs="Courier New" w:eastAsia="Courier New" w:hAnsi="Courier New"/>
          <w:sz w:val="19"/>
          <w:szCs w:val="19"/>
          <w:color w:val="auto"/>
        </w:rPr>
        <w:t>(Date of Event which Requires Filing of Statement)</w:t>
      </w:r>
    </w:p>
    <w:p>
      <w:pPr>
        <w:spacing w:after="0" w:line="213" w:lineRule="exact"/>
        <w:rPr>
          <w:sz w:val="24"/>
          <w:szCs w:val="24"/>
          <w:color w:val="auto"/>
        </w:rPr>
      </w:pPr>
    </w:p>
    <w:p>
      <w:pPr>
        <w:ind w:left="6"/>
        <w:spacing w:after="0"/>
        <w:rPr>
          <w:sz w:val="20"/>
          <w:szCs w:val="20"/>
          <w:color w:val="auto"/>
        </w:rPr>
      </w:pPr>
      <w:r>
        <w:rPr>
          <w:rFonts w:ascii="Courier New" w:cs="Courier New" w:eastAsia="Courier New" w:hAnsi="Courier New"/>
          <w:sz w:val="19"/>
          <w:szCs w:val="19"/>
          <w:color w:val="auto"/>
        </w:rPr>
        <w:t>Check the appropriate box to designate the Rule pursuant to which this</w:t>
      </w:r>
    </w:p>
    <w:p>
      <w:pPr>
        <w:ind w:left="6"/>
        <w:spacing w:after="0" w:line="238" w:lineRule="auto"/>
        <w:rPr>
          <w:sz w:val="20"/>
          <w:szCs w:val="20"/>
          <w:color w:val="auto"/>
        </w:rPr>
      </w:pPr>
      <w:r>
        <w:rPr>
          <w:rFonts w:ascii="Courier New" w:cs="Courier New" w:eastAsia="Courier New" w:hAnsi="Courier New"/>
          <w:sz w:val="19"/>
          <w:szCs w:val="19"/>
          <w:color w:val="auto"/>
        </w:rPr>
        <w:t>Schedule is filed:</w:t>
      </w:r>
    </w:p>
    <w:p>
      <w:pPr>
        <w:spacing w:after="0" w:line="6" w:lineRule="exact"/>
        <w:rPr>
          <w:sz w:val="24"/>
          <w:szCs w:val="24"/>
          <w:color w:val="auto"/>
        </w:rPr>
      </w:pPr>
    </w:p>
    <w:p>
      <w:pPr>
        <w:jc w:val="both"/>
        <w:ind w:left="566" w:right="8460" w:hanging="566"/>
        <w:spacing w:after="0" w:line="254" w:lineRule="auto"/>
        <w:tabs>
          <w:tab w:leader="none" w:pos="566" w:val="left"/>
        </w:tabs>
        <w:numPr>
          <w:ilvl w:val="0"/>
          <w:numId w:val="1"/>
        </w:numPr>
        <w:rPr>
          <w:rFonts w:ascii="Courier New" w:cs="Courier New" w:eastAsia="Courier New" w:hAnsi="Courier New"/>
          <w:sz w:val="18"/>
          <w:szCs w:val="18"/>
          <w:color w:val="auto"/>
        </w:rPr>
      </w:pPr>
      <w:r>
        <w:rPr>
          <w:rFonts w:ascii="Courier New" w:cs="Courier New" w:eastAsia="Courier New" w:hAnsi="Courier New"/>
          <w:sz w:val="18"/>
          <w:szCs w:val="18"/>
          <w:color w:val="auto"/>
        </w:rPr>
        <w:t>Rule 13d - 1(b) Rule 13d - 1(c) Rule 13d - 1(d)</w:t>
      </w:r>
    </w:p>
    <w:p>
      <w:pPr>
        <w:spacing w:after="0" w:line="201" w:lineRule="exact"/>
        <w:rPr>
          <w:sz w:val="24"/>
          <w:szCs w:val="24"/>
          <w:color w:val="auto"/>
        </w:rPr>
      </w:pPr>
    </w:p>
    <w:p>
      <w:pPr>
        <w:ind w:left="326" w:hanging="326"/>
        <w:spacing w:after="0"/>
        <w:tabs>
          <w:tab w:leader="none" w:pos="326" w:val="left"/>
        </w:tabs>
        <w:numPr>
          <w:ilvl w:val="0"/>
          <w:numId w:val="2"/>
        </w:numPr>
        <w:rPr>
          <w:rFonts w:ascii="Courier New" w:cs="Courier New" w:eastAsia="Courier New" w:hAnsi="Courier New"/>
          <w:sz w:val="19"/>
          <w:szCs w:val="19"/>
          <w:color w:val="auto"/>
        </w:rPr>
      </w:pPr>
      <w:r>
        <w:rPr>
          <w:rFonts w:ascii="Courier New" w:cs="Courier New" w:eastAsia="Courier New" w:hAnsi="Courier New"/>
          <w:sz w:val="19"/>
          <w:szCs w:val="19"/>
          <w:color w:val="auto"/>
        </w:rPr>
        <w:t>Name of Reporting Person</w:t>
      </w:r>
    </w:p>
    <w:p>
      <w:pPr>
        <w:ind w:left="326"/>
        <w:spacing w:after="0" w:line="238" w:lineRule="auto"/>
        <w:rPr>
          <w:rFonts w:ascii="Courier New" w:cs="Courier New" w:eastAsia="Courier New" w:hAnsi="Courier New"/>
          <w:sz w:val="19"/>
          <w:szCs w:val="19"/>
          <w:color w:val="auto"/>
        </w:rPr>
      </w:pPr>
      <w:r>
        <w:rPr>
          <w:rFonts w:ascii="Courier New" w:cs="Courier New" w:eastAsia="Courier New" w:hAnsi="Courier New"/>
          <w:sz w:val="19"/>
          <w:szCs w:val="19"/>
          <w:color w:val="auto"/>
        </w:rPr>
        <w:t>T. ROWE PRICE ASSOCIATES, INC.</w:t>
      </w:r>
    </w:p>
    <w:p>
      <w:pPr>
        <w:ind w:left="326"/>
        <w:spacing w:after="0" w:line="238" w:lineRule="auto"/>
        <w:rPr>
          <w:rFonts w:ascii="Courier New" w:cs="Courier New" w:eastAsia="Courier New" w:hAnsi="Courier New"/>
          <w:sz w:val="19"/>
          <w:szCs w:val="19"/>
          <w:color w:val="auto"/>
        </w:rPr>
      </w:pPr>
      <w:r>
        <w:rPr>
          <w:rFonts w:ascii="Courier New" w:cs="Courier New" w:eastAsia="Courier New" w:hAnsi="Courier New"/>
          <w:sz w:val="19"/>
          <w:szCs w:val="19"/>
          <w:color w:val="auto"/>
        </w:rPr>
        <w:t>52-0556948</w:t>
      </w:r>
    </w:p>
    <w:p>
      <w:pPr>
        <w:spacing w:after="0" w:line="213" w:lineRule="exact"/>
        <w:rPr>
          <w:rFonts w:ascii="Courier New" w:cs="Courier New" w:eastAsia="Courier New" w:hAnsi="Courier New"/>
          <w:sz w:val="19"/>
          <w:szCs w:val="19"/>
          <w:color w:val="auto"/>
        </w:rPr>
      </w:pPr>
    </w:p>
    <w:p>
      <w:pPr>
        <w:ind w:left="326" w:hanging="326"/>
        <w:spacing w:after="0"/>
        <w:tabs>
          <w:tab w:leader="none" w:pos="326" w:val="left"/>
        </w:tabs>
        <w:numPr>
          <w:ilvl w:val="0"/>
          <w:numId w:val="2"/>
        </w:numPr>
        <w:rPr>
          <w:rFonts w:ascii="Courier New" w:cs="Courier New" w:eastAsia="Courier New" w:hAnsi="Courier New"/>
          <w:sz w:val="19"/>
          <w:szCs w:val="19"/>
          <w:color w:val="auto"/>
        </w:rPr>
      </w:pPr>
      <w:r>
        <w:rPr>
          <w:rFonts w:ascii="Courier New" w:cs="Courier New" w:eastAsia="Courier New" w:hAnsi="Courier New"/>
          <w:sz w:val="19"/>
          <w:szCs w:val="19"/>
          <w:color w:val="auto"/>
        </w:rPr>
        <w:t>Check the Appropriate Box if a Member of a Group</w:t>
      </w:r>
    </w:p>
    <w:p>
      <w:pPr>
        <w:ind w:left="326"/>
        <w:spacing w:after="0" w:line="238" w:lineRule="auto"/>
        <w:rPr>
          <w:rFonts w:ascii="Courier New" w:cs="Courier New" w:eastAsia="Courier New" w:hAnsi="Courier New"/>
          <w:sz w:val="19"/>
          <w:szCs w:val="19"/>
          <w:color w:val="auto"/>
        </w:rPr>
      </w:pPr>
      <w:r>
        <w:rPr>
          <w:rFonts w:ascii="Courier New" w:cs="Courier New" w:eastAsia="Courier New" w:hAnsi="Courier New"/>
          <w:sz w:val="19"/>
          <w:szCs w:val="19"/>
          <w:color w:val="auto"/>
        </w:rPr>
        <w:t>NOT APPLICABLE</w:t>
      </w:r>
    </w:p>
    <w:p>
      <w:pPr>
        <w:spacing w:after="0" w:line="213" w:lineRule="exact"/>
        <w:rPr>
          <w:rFonts w:ascii="Courier New" w:cs="Courier New" w:eastAsia="Courier New" w:hAnsi="Courier New"/>
          <w:sz w:val="19"/>
          <w:szCs w:val="19"/>
          <w:color w:val="auto"/>
        </w:rPr>
      </w:pPr>
    </w:p>
    <w:p>
      <w:pPr>
        <w:ind w:left="326" w:hanging="326"/>
        <w:spacing w:after="0"/>
        <w:tabs>
          <w:tab w:leader="none" w:pos="326" w:val="left"/>
        </w:tabs>
        <w:numPr>
          <w:ilvl w:val="0"/>
          <w:numId w:val="2"/>
        </w:numPr>
        <w:rPr>
          <w:rFonts w:ascii="Courier New" w:cs="Courier New" w:eastAsia="Courier New" w:hAnsi="Courier New"/>
          <w:sz w:val="19"/>
          <w:szCs w:val="19"/>
          <w:color w:val="auto"/>
        </w:rPr>
      </w:pPr>
      <w:r>
        <w:rPr>
          <w:rFonts w:ascii="Courier New" w:cs="Courier New" w:eastAsia="Courier New" w:hAnsi="Courier New"/>
          <w:sz w:val="19"/>
          <w:szCs w:val="19"/>
          <w:color w:val="auto"/>
        </w:rPr>
        <w:t>SEC Use Only</w:t>
      </w:r>
    </w:p>
    <w:p>
      <w:pPr>
        <w:spacing w:after="0" w:line="219" w:lineRule="exact"/>
        <w:rPr>
          <w:rFonts w:ascii="Courier New" w:cs="Courier New" w:eastAsia="Courier New" w:hAnsi="Courier New"/>
          <w:sz w:val="19"/>
          <w:szCs w:val="19"/>
          <w:color w:val="auto"/>
        </w:rPr>
      </w:pPr>
    </w:p>
    <w:p>
      <w:pPr>
        <w:ind w:left="326" w:right="6340" w:hanging="326"/>
        <w:spacing w:after="0" w:line="235" w:lineRule="auto"/>
        <w:tabs>
          <w:tab w:leader="none" w:pos="326" w:val="left"/>
        </w:tabs>
        <w:numPr>
          <w:ilvl w:val="0"/>
          <w:numId w:val="2"/>
        </w:numPr>
        <w:rPr>
          <w:rFonts w:ascii="Courier New" w:cs="Courier New" w:eastAsia="Courier New" w:hAnsi="Courier New"/>
          <w:sz w:val="19"/>
          <w:szCs w:val="19"/>
          <w:color w:val="auto"/>
        </w:rPr>
      </w:pPr>
      <w:r>
        <w:rPr>
          <w:rFonts w:ascii="Courier New" w:cs="Courier New" w:eastAsia="Courier New" w:hAnsi="Courier New"/>
          <w:sz w:val="19"/>
          <w:szCs w:val="19"/>
          <w:color w:val="auto"/>
        </w:rPr>
        <w:t>Citizenship or Place of Organization Maryland</w:t>
      </w:r>
    </w:p>
    <w:p>
      <w:pPr>
        <w:spacing w:after="0" w:line="213" w:lineRule="exact"/>
        <w:rPr>
          <w:sz w:val="24"/>
          <w:szCs w:val="24"/>
          <w:color w:val="auto"/>
        </w:rPr>
      </w:pPr>
    </w:p>
    <w:p>
      <w:pPr>
        <w:ind w:left="6"/>
        <w:spacing w:after="0"/>
        <w:rPr>
          <w:sz w:val="20"/>
          <w:szCs w:val="20"/>
          <w:color w:val="auto"/>
        </w:rPr>
      </w:pPr>
      <w:r>
        <w:rPr>
          <w:rFonts w:ascii="Courier New" w:cs="Courier New" w:eastAsia="Courier New" w:hAnsi="Courier New"/>
          <w:sz w:val="19"/>
          <w:szCs w:val="19"/>
          <w:color w:val="auto"/>
        </w:rPr>
        <w:t>Number of Shares Beneficially Owned by Each Reporting Person With</w:t>
      </w:r>
    </w:p>
    <w:p>
      <w:pPr>
        <w:spacing w:after="0" w:line="213" w:lineRule="exact"/>
        <w:rPr>
          <w:sz w:val="24"/>
          <w:szCs w:val="24"/>
          <w:color w:val="auto"/>
        </w:rPr>
      </w:pPr>
    </w:p>
    <w:tbl>
      <w:tblPr>
        <w:tblLayout w:type="fixed"/>
        <w:tblInd w:w="6" w:type="dxa"/>
        <w:tblCellMar>
          <w:top w:w="0" w:type="dxa"/>
          <w:left w:w="0" w:type="dxa"/>
          <w:bottom w:w="0" w:type="dxa"/>
          <w:right w:w="0" w:type="dxa"/>
        </w:tblCellMar>
      </w:tblPr>
      <w:tr>
        <w:trPr>
          <w:trHeight w:val="215"/>
        </w:trPr>
        <w:tc>
          <w:tcPr>
            <w:tcW w:w="280" w:type="dxa"/>
            <w:vAlign w:val="bottom"/>
          </w:tcPr>
          <w:p>
            <w:pPr>
              <w:jc w:val="right"/>
              <w:spacing w:after="0"/>
              <w:rPr>
                <w:sz w:val="20"/>
                <w:szCs w:val="20"/>
                <w:color w:val="auto"/>
              </w:rPr>
            </w:pPr>
            <w:r>
              <w:rPr>
                <w:rFonts w:ascii="Courier New" w:cs="Courier New" w:eastAsia="Courier New" w:hAnsi="Courier New"/>
                <w:sz w:val="19"/>
                <w:szCs w:val="19"/>
                <w:color w:val="auto"/>
                <w:w w:val="87"/>
              </w:rPr>
              <w:t>5.</w:t>
            </w:r>
          </w:p>
        </w:tc>
        <w:tc>
          <w:tcPr>
            <w:tcW w:w="2880" w:type="dxa"/>
            <w:vAlign w:val="bottom"/>
          </w:tcPr>
          <w:p>
            <w:pPr>
              <w:ind w:left="40"/>
              <w:spacing w:after="0"/>
              <w:rPr>
                <w:sz w:val="20"/>
                <w:szCs w:val="20"/>
                <w:color w:val="auto"/>
              </w:rPr>
            </w:pPr>
            <w:r>
              <w:rPr>
                <w:rFonts w:ascii="Courier New" w:cs="Courier New" w:eastAsia="Courier New" w:hAnsi="Courier New"/>
                <w:sz w:val="19"/>
                <w:szCs w:val="19"/>
                <w:color w:val="auto"/>
              </w:rPr>
              <w:t>Sole Voting Power*</w:t>
            </w:r>
          </w:p>
        </w:tc>
        <w:tc>
          <w:tcPr>
            <w:tcW w:w="1180" w:type="dxa"/>
            <w:vAlign w:val="bottom"/>
          </w:tcPr>
          <w:p>
            <w:pPr>
              <w:ind w:left="180"/>
              <w:spacing w:after="0"/>
              <w:rPr>
                <w:sz w:val="20"/>
                <w:szCs w:val="20"/>
                <w:color w:val="auto"/>
              </w:rPr>
            </w:pPr>
            <w:r>
              <w:rPr>
                <w:rFonts w:ascii="Courier New" w:cs="Courier New" w:eastAsia="Courier New" w:hAnsi="Courier New"/>
                <w:sz w:val="19"/>
                <w:szCs w:val="19"/>
                <w:color w:val="auto"/>
              </w:rPr>
              <w:t>221,762</w:t>
            </w:r>
          </w:p>
        </w:tc>
      </w:tr>
      <w:tr>
        <w:trPr>
          <w:trHeight w:val="428"/>
        </w:trPr>
        <w:tc>
          <w:tcPr>
            <w:tcW w:w="280" w:type="dxa"/>
            <w:vAlign w:val="bottom"/>
          </w:tcPr>
          <w:p>
            <w:pPr>
              <w:jc w:val="right"/>
              <w:spacing w:after="0"/>
              <w:rPr>
                <w:sz w:val="20"/>
                <w:szCs w:val="20"/>
                <w:color w:val="auto"/>
              </w:rPr>
            </w:pPr>
            <w:r>
              <w:rPr>
                <w:rFonts w:ascii="Courier New" w:cs="Courier New" w:eastAsia="Courier New" w:hAnsi="Courier New"/>
                <w:sz w:val="19"/>
                <w:szCs w:val="19"/>
                <w:color w:val="auto"/>
                <w:w w:val="87"/>
              </w:rPr>
              <w:t>6.</w:t>
            </w:r>
          </w:p>
        </w:tc>
        <w:tc>
          <w:tcPr>
            <w:tcW w:w="2880" w:type="dxa"/>
            <w:vAlign w:val="bottom"/>
          </w:tcPr>
          <w:p>
            <w:pPr>
              <w:ind w:left="40"/>
              <w:spacing w:after="0"/>
              <w:rPr>
                <w:sz w:val="20"/>
                <w:szCs w:val="20"/>
                <w:color w:val="auto"/>
              </w:rPr>
            </w:pPr>
            <w:r>
              <w:rPr>
                <w:rFonts w:ascii="Courier New" w:cs="Courier New" w:eastAsia="Courier New" w:hAnsi="Courier New"/>
                <w:sz w:val="19"/>
                <w:szCs w:val="19"/>
                <w:color w:val="auto"/>
              </w:rPr>
              <w:t>Shared Voting Power*</w:t>
            </w:r>
          </w:p>
        </w:tc>
        <w:tc>
          <w:tcPr>
            <w:tcW w:w="1180" w:type="dxa"/>
            <w:vAlign w:val="bottom"/>
          </w:tcPr>
          <w:p>
            <w:pPr>
              <w:ind w:left="180"/>
              <w:spacing w:after="0"/>
              <w:rPr>
                <w:sz w:val="20"/>
                <w:szCs w:val="20"/>
                <w:color w:val="auto"/>
              </w:rPr>
            </w:pPr>
            <w:r>
              <w:rPr>
                <w:rFonts w:ascii="Courier New" w:cs="Courier New" w:eastAsia="Courier New" w:hAnsi="Courier New"/>
                <w:sz w:val="19"/>
                <w:szCs w:val="19"/>
                <w:color w:val="auto"/>
              </w:rPr>
              <w:t>0</w:t>
            </w:r>
          </w:p>
        </w:tc>
      </w:tr>
      <w:tr>
        <w:trPr>
          <w:trHeight w:val="428"/>
        </w:trPr>
        <w:tc>
          <w:tcPr>
            <w:tcW w:w="280" w:type="dxa"/>
            <w:vAlign w:val="bottom"/>
          </w:tcPr>
          <w:p>
            <w:pPr>
              <w:jc w:val="right"/>
              <w:spacing w:after="0"/>
              <w:rPr>
                <w:sz w:val="20"/>
                <w:szCs w:val="20"/>
                <w:color w:val="auto"/>
              </w:rPr>
            </w:pPr>
            <w:r>
              <w:rPr>
                <w:rFonts w:ascii="Courier New" w:cs="Courier New" w:eastAsia="Courier New" w:hAnsi="Courier New"/>
                <w:sz w:val="19"/>
                <w:szCs w:val="19"/>
                <w:color w:val="auto"/>
                <w:w w:val="87"/>
              </w:rPr>
              <w:t>7.</w:t>
            </w:r>
          </w:p>
        </w:tc>
        <w:tc>
          <w:tcPr>
            <w:tcW w:w="2880" w:type="dxa"/>
            <w:vAlign w:val="bottom"/>
          </w:tcPr>
          <w:p>
            <w:pPr>
              <w:ind w:left="40"/>
              <w:spacing w:after="0"/>
              <w:rPr>
                <w:sz w:val="20"/>
                <w:szCs w:val="20"/>
                <w:color w:val="auto"/>
              </w:rPr>
            </w:pPr>
            <w:r>
              <w:rPr>
                <w:rFonts w:ascii="Courier New" w:cs="Courier New" w:eastAsia="Courier New" w:hAnsi="Courier New"/>
                <w:sz w:val="19"/>
                <w:szCs w:val="19"/>
                <w:color w:val="auto"/>
              </w:rPr>
              <w:t>Sole Dispositive Power*</w:t>
            </w:r>
          </w:p>
        </w:tc>
        <w:tc>
          <w:tcPr>
            <w:tcW w:w="1180" w:type="dxa"/>
            <w:vAlign w:val="bottom"/>
          </w:tcPr>
          <w:p>
            <w:pPr>
              <w:ind w:left="180"/>
              <w:spacing w:after="0"/>
              <w:rPr>
                <w:sz w:val="20"/>
                <w:szCs w:val="20"/>
                <w:color w:val="auto"/>
              </w:rPr>
            </w:pPr>
            <w:r>
              <w:rPr>
                <w:rFonts w:ascii="Courier New" w:cs="Courier New" w:eastAsia="Courier New" w:hAnsi="Courier New"/>
                <w:sz w:val="19"/>
                <w:szCs w:val="19"/>
                <w:color w:val="auto"/>
                <w:w w:val="95"/>
              </w:rPr>
              <w:t>1,737,500</w:t>
            </w:r>
          </w:p>
        </w:tc>
      </w:tr>
      <w:tr>
        <w:trPr>
          <w:trHeight w:val="428"/>
        </w:trPr>
        <w:tc>
          <w:tcPr>
            <w:tcW w:w="280" w:type="dxa"/>
            <w:vAlign w:val="bottom"/>
          </w:tcPr>
          <w:p>
            <w:pPr>
              <w:jc w:val="right"/>
              <w:spacing w:after="0"/>
              <w:rPr>
                <w:sz w:val="20"/>
                <w:szCs w:val="20"/>
                <w:color w:val="auto"/>
              </w:rPr>
            </w:pPr>
            <w:r>
              <w:rPr>
                <w:rFonts w:ascii="Courier New" w:cs="Courier New" w:eastAsia="Courier New" w:hAnsi="Courier New"/>
                <w:sz w:val="19"/>
                <w:szCs w:val="19"/>
                <w:color w:val="auto"/>
                <w:w w:val="87"/>
              </w:rPr>
              <w:t>8.</w:t>
            </w:r>
          </w:p>
        </w:tc>
        <w:tc>
          <w:tcPr>
            <w:tcW w:w="2880" w:type="dxa"/>
            <w:vAlign w:val="bottom"/>
          </w:tcPr>
          <w:p>
            <w:pPr>
              <w:ind w:left="40"/>
              <w:spacing w:after="0"/>
              <w:rPr>
                <w:sz w:val="20"/>
                <w:szCs w:val="20"/>
                <w:color w:val="auto"/>
              </w:rPr>
            </w:pPr>
            <w:r>
              <w:rPr>
                <w:rFonts w:ascii="Courier New" w:cs="Courier New" w:eastAsia="Courier New" w:hAnsi="Courier New"/>
                <w:sz w:val="19"/>
                <w:szCs w:val="19"/>
                <w:color w:val="auto"/>
              </w:rPr>
              <w:t>Shared Dispositive Power</w:t>
            </w:r>
          </w:p>
        </w:tc>
        <w:tc>
          <w:tcPr>
            <w:tcW w:w="1180" w:type="dxa"/>
            <w:vAlign w:val="bottom"/>
          </w:tcPr>
          <w:p>
            <w:pPr>
              <w:ind w:left="180"/>
              <w:spacing w:after="0"/>
              <w:rPr>
                <w:sz w:val="20"/>
                <w:szCs w:val="20"/>
                <w:color w:val="auto"/>
              </w:rPr>
            </w:pPr>
            <w:r>
              <w:rPr>
                <w:rFonts w:ascii="Courier New" w:cs="Courier New" w:eastAsia="Courier New" w:hAnsi="Courier New"/>
                <w:sz w:val="19"/>
                <w:szCs w:val="19"/>
                <w:color w:val="auto"/>
              </w:rPr>
              <w:t>0</w:t>
            </w:r>
          </w:p>
        </w:tc>
      </w:tr>
    </w:tbl>
    <w:p>
      <w:pPr>
        <w:spacing w:after="0" w:line="219" w:lineRule="exact"/>
        <w:rPr>
          <w:sz w:val="24"/>
          <w:szCs w:val="24"/>
          <w:color w:val="auto"/>
        </w:rPr>
      </w:pPr>
    </w:p>
    <w:p>
      <w:pPr>
        <w:ind w:left="326" w:right="3680" w:hanging="326"/>
        <w:spacing w:after="0" w:line="235" w:lineRule="auto"/>
        <w:tabs>
          <w:tab w:leader="none" w:pos="326" w:val="left"/>
        </w:tabs>
        <w:numPr>
          <w:ilvl w:val="0"/>
          <w:numId w:val="3"/>
        </w:numPr>
        <w:rPr>
          <w:rFonts w:ascii="Courier New" w:cs="Courier New" w:eastAsia="Courier New" w:hAnsi="Courier New"/>
          <w:sz w:val="19"/>
          <w:szCs w:val="19"/>
          <w:color w:val="auto"/>
        </w:rPr>
      </w:pPr>
      <w:r>
        <w:rPr>
          <w:rFonts w:ascii="Courier New" w:cs="Courier New" w:eastAsia="Courier New" w:hAnsi="Courier New"/>
          <w:sz w:val="19"/>
          <w:szCs w:val="19"/>
          <w:color w:val="auto"/>
        </w:rPr>
        <w:t>Aggregate Amount Beneficially Owned by Each Reporting Person 1,737,500</w:t>
      </w:r>
    </w:p>
    <w:p>
      <w:pPr>
        <w:spacing w:after="0" w:line="220" w:lineRule="exact"/>
        <w:rPr>
          <w:rFonts w:ascii="Courier New" w:cs="Courier New" w:eastAsia="Courier New" w:hAnsi="Courier New"/>
          <w:sz w:val="19"/>
          <w:szCs w:val="19"/>
          <w:color w:val="auto"/>
        </w:rPr>
      </w:pPr>
    </w:p>
    <w:p>
      <w:pPr>
        <w:ind w:left="446" w:hanging="446"/>
        <w:spacing w:after="0"/>
        <w:tabs>
          <w:tab w:leader="none" w:pos="44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Box if the Aggregate Amount in Row (9) Excludes Certain Shares</w:t>
      </w:r>
    </w:p>
    <w:p>
      <w:pPr>
        <w:spacing w:after="0" w:line="4" w:lineRule="exact"/>
        <w:rPr>
          <w:rFonts w:ascii="Courier New" w:cs="Courier New" w:eastAsia="Courier New" w:hAnsi="Courier New"/>
          <w:sz w:val="18"/>
          <w:szCs w:val="18"/>
          <w:color w:val="auto"/>
        </w:rPr>
      </w:pPr>
    </w:p>
    <w:p>
      <w:pPr>
        <w:ind w:left="886"/>
        <w:spacing w:after="0" w:line="238" w:lineRule="auto"/>
        <w:rPr>
          <w:rFonts w:ascii="Courier New" w:cs="Courier New" w:eastAsia="Courier New" w:hAnsi="Courier New"/>
          <w:sz w:val="18"/>
          <w:szCs w:val="18"/>
          <w:color w:val="auto"/>
        </w:rPr>
      </w:pPr>
      <w:r>
        <w:rPr>
          <w:rFonts w:ascii="Courier New" w:cs="Courier New" w:eastAsia="Courier New" w:hAnsi="Courier New"/>
          <w:sz w:val="19"/>
          <w:szCs w:val="19"/>
          <w:color w:val="auto"/>
        </w:rPr>
        <w:t>NOT APPLICABLE</w:t>
      </w:r>
    </w:p>
    <w:p>
      <w:pPr>
        <w:spacing w:after="0" w:line="213" w:lineRule="exact"/>
        <w:rPr>
          <w:rFonts w:ascii="Courier New" w:cs="Courier New" w:eastAsia="Courier New" w:hAnsi="Courier New"/>
          <w:sz w:val="18"/>
          <w:szCs w:val="18"/>
          <w:color w:val="auto"/>
        </w:rPr>
      </w:pPr>
    </w:p>
    <w:p>
      <w:pPr>
        <w:ind w:left="446" w:hanging="446"/>
        <w:spacing w:after="0"/>
        <w:tabs>
          <w:tab w:leader="none" w:pos="446" w:val="left"/>
        </w:tabs>
        <w:numPr>
          <w:ilvl w:val="0"/>
          <w:numId w:val="3"/>
        </w:numPr>
        <w:rPr>
          <w:rFonts w:ascii="Courier New" w:cs="Courier New" w:eastAsia="Courier New" w:hAnsi="Courier New"/>
          <w:sz w:val="19"/>
          <w:szCs w:val="19"/>
          <w:color w:val="auto"/>
        </w:rPr>
      </w:pPr>
      <w:r>
        <w:rPr>
          <w:rFonts w:ascii="Courier New" w:cs="Courier New" w:eastAsia="Courier New" w:hAnsi="Courier New"/>
          <w:sz w:val="19"/>
          <w:szCs w:val="19"/>
          <w:color w:val="auto"/>
        </w:rPr>
        <w:t>Percent of Class Represented by Amount in Row 9</w:t>
      </w:r>
    </w:p>
    <w:p>
      <w:pPr>
        <w:ind w:left="886"/>
        <w:spacing w:after="0" w:line="238" w:lineRule="auto"/>
        <w:rPr>
          <w:sz w:val="20"/>
          <w:szCs w:val="20"/>
          <w:color w:val="auto"/>
        </w:rPr>
      </w:pPr>
      <w:r>
        <w:rPr>
          <w:rFonts w:ascii="Courier New" w:cs="Courier New" w:eastAsia="Courier New" w:hAnsi="Courier New"/>
          <w:sz w:val="19"/>
          <w:szCs w:val="19"/>
          <w:color w:val="auto"/>
        </w:rPr>
        <w:t>4.5%</w:t>
      </w:r>
    </w:p>
    <w:p>
      <w:pPr>
        <w:spacing w:after="0" w:line="213" w:lineRule="exact"/>
        <w:rPr>
          <w:sz w:val="24"/>
          <w:szCs w:val="24"/>
          <w:color w:val="auto"/>
        </w:rPr>
      </w:pPr>
    </w:p>
    <w:p>
      <w:pPr>
        <w:ind w:left="446" w:hanging="446"/>
        <w:spacing w:after="0"/>
        <w:tabs>
          <w:tab w:leader="none" w:pos="446" w:val="left"/>
        </w:tabs>
        <w:numPr>
          <w:ilvl w:val="0"/>
          <w:numId w:val="4"/>
        </w:numPr>
        <w:rPr>
          <w:rFonts w:ascii="Courier New" w:cs="Courier New" w:eastAsia="Courier New" w:hAnsi="Courier New"/>
          <w:sz w:val="19"/>
          <w:szCs w:val="19"/>
          <w:color w:val="auto"/>
        </w:rPr>
      </w:pPr>
      <w:r>
        <w:rPr>
          <w:rFonts w:ascii="Courier New" w:cs="Courier New" w:eastAsia="Courier New" w:hAnsi="Courier New"/>
          <w:sz w:val="19"/>
          <w:szCs w:val="19"/>
          <w:color w:val="auto"/>
        </w:rPr>
        <w:t>Type of Reporting Person</w:t>
      </w:r>
    </w:p>
    <w:p>
      <w:pPr>
        <w:ind w:left="886"/>
        <w:spacing w:after="0" w:line="238" w:lineRule="auto"/>
        <w:rPr>
          <w:rFonts w:ascii="Courier New" w:cs="Courier New" w:eastAsia="Courier New" w:hAnsi="Courier New"/>
          <w:sz w:val="19"/>
          <w:szCs w:val="19"/>
          <w:color w:val="auto"/>
        </w:rPr>
      </w:pPr>
      <w:r>
        <w:rPr>
          <w:rFonts w:ascii="Courier New" w:cs="Courier New" w:eastAsia="Courier New" w:hAnsi="Courier New"/>
          <w:sz w:val="19"/>
          <w:szCs w:val="19"/>
          <w:color w:val="auto"/>
        </w:rPr>
        <w:t>IA</w:t>
      </w:r>
    </w:p>
    <w:p>
      <w:pPr>
        <w:spacing w:after="0" w:line="213" w:lineRule="exact"/>
        <w:rPr>
          <w:sz w:val="24"/>
          <w:szCs w:val="24"/>
          <w:color w:val="auto"/>
        </w:rPr>
      </w:pPr>
    </w:p>
    <w:p>
      <w:pPr>
        <w:ind w:left="6"/>
        <w:spacing w:after="0"/>
        <w:rPr>
          <w:sz w:val="20"/>
          <w:szCs w:val="20"/>
          <w:color w:val="auto"/>
        </w:rPr>
      </w:pPr>
      <w:r>
        <w:rPr>
          <w:rFonts w:ascii="Courier New" w:cs="Courier New" w:eastAsia="Courier New" w:hAnsi="Courier New"/>
          <w:sz w:val="19"/>
          <w:szCs w:val="19"/>
          <w:color w:val="auto"/>
        </w:rPr>
        <w:t>*Any shares reported in Items 5 and 6 are also reported in Item 7.</w:t>
      </w:r>
    </w:p>
    <w:p>
      <w:pPr>
        <w:spacing w:after="0" w:line="200" w:lineRule="exact"/>
        <w:rPr>
          <w:sz w:val="24"/>
          <w:szCs w:val="24"/>
          <w:color w:val="auto"/>
        </w:rPr>
      </w:pPr>
    </w:p>
    <w:p>
      <w:pPr>
        <w:spacing w:after="0" w:line="227" w:lineRule="exact"/>
        <w:rPr>
          <w:sz w:val="24"/>
          <w:szCs w:val="24"/>
          <w:color w:val="auto"/>
        </w:rPr>
      </w:pPr>
    </w:p>
    <w:p>
      <w:pPr>
        <w:ind w:left="6"/>
        <w:spacing w:after="0"/>
        <w:rPr>
          <w:sz w:val="20"/>
          <w:szCs w:val="20"/>
          <w:color w:val="auto"/>
        </w:rPr>
      </w:pPr>
      <w:r>
        <w:rPr>
          <w:rFonts w:ascii="Courier New" w:cs="Courier New" w:eastAsia="Courier New" w:hAnsi="Courier New"/>
          <w:sz w:val="19"/>
          <w:szCs w:val="19"/>
          <w:color w:val="auto"/>
        </w:rPr>
        <w:t>Item 1(a) Name of Issuer:</w:t>
      </w:r>
    </w:p>
    <w:p>
      <w:pPr>
        <w:ind w:left="6"/>
        <w:spacing w:after="0" w:line="238" w:lineRule="auto"/>
        <w:rPr>
          <w:sz w:val="20"/>
          <w:szCs w:val="20"/>
          <w:color w:val="auto"/>
        </w:rPr>
      </w:pPr>
      <w:r>
        <w:rPr>
          <w:rFonts w:ascii="Courier New" w:cs="Courier New" w:eastAsia="Courier New" w:hAnsi="Courier New"/>
          <w:sz w:val="19"/>
          <w:szCs w:val="19"/>
          <w:color w:val="auto"/>
        </w:rPr>
        <w:t>Lantheus Holdings, Inc.</w:t>
      </w:r>
    </w:p>
    <w:p>
      <w:pPr>
        <w:spacing w:after="0" w:line="213" w:lineRule="exact"/>
        <w:rPr>
          <w:sz w:val="24"/>
          <w:szCs w:val="24"/>
          <w:color w:val="auto"/>
        </w:rPr>
      </w:pPr>
    </w:p>
    <w:p>
      <w:pPr>
        <w:ind w:left="6"/>
        <w:spacing w:after="0"/>
        <w:rPr>
          <w:sz w:val="20"/>
          <w:szCs w:val="20"/>
          <w:color w:val="auto"/>
        </w:rPr>
      </w:pPr>
      <w:r>
        <w:rPr>
          <w:rFonts w:ascii="Courier New" w:cs="Courier New" w:eastAsia="Courier New" w:hAnsi="Courier New"/>
          <w:sz w:val="19"/>
          <w:szCs w:val="19"/>
          <w:color w:val="auto"/>
        </w:rPr>
        <w:t>Item 1(b) Address of Issuer's Principal Executive Offices:</w:t>
      </w:r>
    </w:p>
    <w:p>
      <w:pPr>
        <w:ind w:left="6"/>
        <w:spacing w:after="0" w:line="238" w:lineRule="auto"/>
        <w:rPr>
          <w:sz w:val="20"/>
          <w:szCs w:val="20"/>
          <w:color w:val="auto"/>
        </w:rPr>
      </w:pPr>
      <w:r>
        <w:rPr>
          <w:rFonts w:ascii="Courier New" w:cs="Courier New" w:eastAsia="Courier New" w:hAnsi="Courier New"/>
          <w:sz w:val="19"/>
          <w:szCs w:val="19"/>
          <w:color w:val="auto"/>
        </w:rPr>
        <w:t>331 TREBLE COVE ROAD, NORTH BILLERICA, MASSACHUSETTS 01862</w:t>
      </w:r>
    </w:p>
    <w:p>
      <w:pPr>
        <w:spacing w:after="0" w:line="213" w:lineRule="exact"/>
        <w:rPr>
          <w:sz w:val="24"/>
          <w:szCs w:val="24"/>
          <w:color w:val="auto"/>
        </w:rPr>
      </w:pPr>
    </w:p>
    <w:p>
      <w:pPr>
        <w:ind w:left="6"/>
        <w:spacing w:after="0"/>
        <w:rPr>
          <w:sz w:val="20"/>
          <w:szCs w:val="20"/>
          <w:color w:val="auto"/>
        </w:rPr>
      </w:pPr>
      <w:r>
        <w:rPr>
          <w:rFonts w:ascii="Courier New" w:cs="Courier New" w:eastAsia="Courier New" w:hAnsi="Courier New"/>
          <w:sz w:val="19"/>
          <w:szCs w:val="19"/>
          <w:color w:val="auto"/>
        </w:rPr>
        <w:t>Item 2(a) Name of Person(s) Filing:</w:t>
      </w:r>
    </w:p>
    <w:p>
      <w:pPr>
        <w:ind w:left="6"/>
        <w:spacing w:after="0" w:line="238" w:lineRule="auto"/>
        <w:rPr>
          <w:sz w:val="20"/>
          <w:szCs w:val="20"/>
          <w:color w:val="auto"/>
        </w:rPr>
      </w:pPr>
      <w:r>
        <w:rPr>
          <w:rFonts w:ascii="Courier New" w:cs="Courier New" w:eastAsia="Courier New" w:hAnsi="Courier New"/>
          <w:sz w:val="19"/>
          <w:szCs w:val="19"/>
          <w:color w:val="auto"/>
        </w:rPr>
        <w:t>(1) T. ROWE PRICE ASSOCIATES, INC. ("Price Associates")</w:t>
      </w:r>
    </w:p>
    <w:p>
      <w:pPr>
        <w:sectPr>
          <w:pgSz w:w="12240" w:h="15840" w:orient="portrait"/>
          <w:cols w:equalWidth="0" w:num="1">
            <w:col w:w="10686"/>
          </w:cols>
          <w:pgMar w:left="114" w:top="109" w:right="1440" w:bottom="0" w:gutter="0" w:footer="0" w:header="0"/>
        </w:sectPr>
      </w:pPr>
    </w:p>
    <w:bookmarkStart w:id="1" w:name="page2"/>
    <w:bookmarkEnd w:id="1"/>
    <w:p>
      <w:pPr>
        <w:ind w:left="6"/>
        <w:spacing w:after="0"/>
        <w:rPr>
          <w:sz w:val="20"/>
          <w:szCs w:val="20"/>
          <w:color w:val="auto"/>
        </w:rPr>
      </w:pPr>
      <w:r>
        <w:rPr>
          <w:rFonts w:ascii="Courier New" w:cs="Courier New" w:eastAsia="Courier New" w:hAnsi="Courier New"/>
          <w:sz w:val="19"/>
          <w:szCs w:val="19"/>
          <w:color w:val="auto"/>
        </w:rPr>
        <w:t>Item 2(b) Address of Principal Business Office:</w:t>
      </w:r>
    </w:p>
    <w:p>
      <w:pPr>
        <w:ind w:left="6"/>
        <w:spacing w:after="0" w:line="238" w:lineRule="auto"/>
        <w:rPr>
          <w:sz w:val="20"/>
          <w:szCs w:val="20"/>
          <w:color w:val="auto"/>
        </w:rPr>
      </w:pPr>
      <w:r>
        <w:rPr>
          <w:rFonts w:ascii="Courier New" w:cs="Courier New" w:eastAsia="Courier New" w:hAnsi="Courier New"/>
          <w:sz w:val="19"/>
          <w:szCs w:val="19"/>
          <w:color w:val="auto"/>
        </w:rPr>
        <w:t>100 E. Pratt Street, Baltimore, MD 21202</w:t>
      </w:r>
    </w:p>
    <w:p>
      <w:pPr>
        <w:spacing w:after="0" w:line="213" w:lineRule="exact"/>
        <w:rPr>
          <w:sz w:val="20"/>
          <w:szCs w:val="20"/>
          <w:color w:val="auto"/>
        </w:rPr>
      </w:pPr>
    </w:p>
    <w:p>
      <w:pPr>
        <w:ind w:left="6"/>
        <w:spacing w:after="0"/>
        <w:rPr>
          <w:sz w:val="20"/>
          <w:szCs w:val="20"/>
          <w:color w:val="auto"/>
        </w:rPr>
      </w:pPr>
      <w:r>
        <w:rPr>
          <w:rFonts w:ascii="Courier New" w:cs="Courier New" w:eastAsia="Courier New" w:hAnsi="Courier New"/>
          <w:sz w:val="19"/>
          <w:szCs w:val="19"/>
          <w:color w:val="auto"/>
        </w:rPr>
        <w:t>Item 2(c) Citizenship or Place of Organization:</w:t>
      </w:r>
    </w:p>
    <w:p>
      <w:pPr>
        <w:ind w:left="6"/>
        <w:spacing w:after="0" w:line="238" w:lineRule="auto"/>
        <w:rPr>
          <w:sz w:val="20"/>
          <w:szCs w:val="20"/>
          <w:color w:val="auto"/>
        </w:rPr>
      </w:pPr>
      <w:r>
        <w:rPr>
          <w:rFonts w:ascii="Courier New" w:cs="Courier New" w:eastAsia="Courier New" w:hAnsi="Courier New"/>
          <w:sz w:val="19"/>
          <w:szCs w:val="19"/>
          <w:color w:val="auto"/>
        </w:rPr>
        <w:t>(1) Maryland</w:t>
      </w:r>
    </w:p>
    <w:p>
      <w:pPr>
        <w:spacing w:after="0" w:line="213" w:lineRule="exact"/>
        <w:rPr>
          <w:sz w:val="20"/>
          <w:szCs w:val="20"/>
          <w:color w:val="auto"/>
        </w:rPr>
      </w:pPr>
    </w:p>
    <w:p>
      <w:pPr>
        <w:ind w:left="6"/>
        <w:spacing w:after="0"/>
        <w:rPr>
          <w:sz w:val="20"/>
          <w:szCs w:val="20"/>
          <w:color w:val="auto"/>
        </w:rPr>
      </w:pPr>
      <w:r>
        <w:rPr>
          <w:rFonts w:ascii="Courier New" w:cs="Courier New" w:eastAsia="Courier New" w:hAnsi="Courier New"/>
          <w:sz w:val="19"/>
          <w:szCs w:val="19"/>
          <w:color w:val="auto"/>
        </w:rPr>
        <w:t>Item 2(d) Title of Class of Securities: COMMON STOCK</w:t>
      </w:r>
    </w:p>
    <w:p>
      <w:pPr>
        <w:spacing w:after="0" w:line="213" w:lineRule="exact"/>
        <w:rPr>
          <w:sz w:val="20"/>
          <w:szCs w:val="20"/>
          <w:color w:val="auto"/>
        </w:rPr>
      </w:pPr>
    </w:p>
    <w:p>
      <w:pPr>
        <w:ind w:left="6"/>
        <w:spacing w:after="0"/>
        <w:rPr>
          <w:sz w:val="20"/>
          <w:szCs w:val="20"/>
          <w:color w:val="auto"/>
        </w:rPr>
      </w:pPr>
      <w:r>
        <w:rPr>
          <w:rFonts w:ascii="Courier New" w:cs="Courier New" w:eastAsia="Courier New" w:hAnsi="Courier New"/>
          <w:sz w:val="19"/>
          <w:szCs w:val="19"/>
          <w:color w:val="auto"/>
        </w:rPr>
        <w:t>Item 2(e) Cusip Number: 516544103</w:t>
      </w:r>
    </w:p>
    <w:p>
      <w:pPr>
        <w:spacing w:after="0" w:line="213" w:lineRule="exact"/>
        <w:rPr>
          <w:sz w:val="20"/>
          <w:szCs w:val="20"/>
          <w:color w:val="auto"/>
        </w:rPr>
      </w:pPr>
    </w:p>
    <w:p>
      <w:pPr>
        <w:ind w:left="6"/>
        <w:spacing w:after="0"/>
        <w:rPr>
          <w:sz w:val="20"/>
          <w:szCs w:val="20"/>
          <w:color w:val="auto"/>
        </w:rPr>
      </w:pPr>
      <w:r>
        <w:rPr>
          <w:rFonts w:ascii="Courier New" w:cs="Courier New" w:eastAsia="Courier New" w:hAnsi="Courier New"/>
          <w:sz w:val="19"/>
          <w:szCs w:val="19"/>
          <w:color w:val="auto"/>
        </w:rPr>
        <w:t>Item 3: The person filing this Schedule 13G is an:</w:t>
      </w:r>
    </w:p>
    <w:p>
      <w:pPr>
        <w:spacing w:after="0" w:line="5" w:lineRule="exact"/>
        <w:rPr>
          <w:sz w:val="20"/>
          <w:szCs w:val="20"/>
          <w:color w:val="auto"/>
        </w:rPr>
      </w:pPr>
    </w:p>
    <w:p>
      <w:pPr>
        <w:ind w:left="446" w:right="3020" w:hanging="446"/>
        <w:spacing w:after="0" w:line="235" w:lineRule="auto"/>
        <w:tabs>
          <w:tab w:leader="none" w:pos="446" w:val="left"/>
        </w:tabs>
        <w:numPr>
          <w:ilvl w:val="0"/>
          <w:numId w:val="5"/>
        </w:numPr>
        <w:rPr>
          <w:rFonts w:ascii="Courier New" w:cs="Courier New" w:eastAsia="Courier New" w:hAnsi="Courier New"/>
          <w:sz w:val="19"/>
          <w:szCs w:val="19"/>
          <w:color w:val="auto"/>
        </w:rPr>
      </w:pPr>
      <w:r>
        <w:rPr>
          <w:rFonts w:ascii="Courier New" w:cs="Courier New" w:eastAsia="Courier New" w:hAnsi="Courier New"/>
          <w:sz w:val="19"/>
          <w:szCs w:val="19"/>
          <w:color w:val="auto"/>
        </w:rPr>
        <w:t>Investment Adviser registered under Section 203 of the Investment Advisers Act of 1940</w:t>
      </w:r>
    </w:p>
    <w:p>
      <w:pPr>
        <w:spacing w:after="0" w:line="220" w:lineRule="exact"/>
        <w:rPr>
          <w:sz w:val="20"/>
          <w:szCs w:val="20"/>
          <w:color w:val="auto"/>
        </w:rPr>
      </w:pPr>
    </w:p>
    <w:p>
      <w:pPr>
        <w:ind w:left="886" w:right="2900" w:hanging="889"/>
        <w:spacing w:after="0" w:line="235" w:lineRule="auto"/>
        <w:rPr>
          <w:sz w:val="20"/>
          <w:szCs w:val="20"/>
          <w:color w:val="auto"/>
        </w:rPr>
      </w:pPr>
      <w:r>
        <w:rPr>
          <w:rFonts w:ascii="Courier New" w:cs="Courier New" w:eastAsia="Courier New" w:hAnsi="Courier New"/>
          <w:sz w:val="19"/>
          <w:szCs w:val="19"/>
          <w:color w:val="auto"/>
        </w:rPr>
        <w:t>Item 4: Reference is made to Items 5-11 on the preceding pages of this Schedule 13G.</w:t>
      </w:r>
    </w:p>
    <w:p>
      <w:pPr>
        <w:spacing w:after="0" w:line="213" w:lineRule="exact"/>
        <w:rPr>
          <w:sz w:val="20"/>
          <w:szCs w:val="20"/>
          <w:color w:val="auto"/>
        </w:rPr>
      </w:pPr>
    </w:p>
    <w:p>
      <w:pPr>
        <w:ind w:left="6"/>
        <w:spacing w:after="0"/>
        <w:rPr>
          <w:sz w:val="20"/>
          <w:szCs w:val="20"/>
          <w:color w:val="auto"/>
        </w:rPr>
      </w:pPr>
      <w:r>
        <w:rPr>
          <w:rFonts w:ascii="Courier New" w:cs="Courier New" w:eastAsia="Courier New" w:hAnsi="Courier New"/>
          <w:sz w:val="19"/>
          <w:szCs w:val="19"/>
          <w:color w:val="auto"/>
        </w:rPr>
        <w:t>Item 5: Ownership of Five Percent or Less of a Class</w:t>
      </w:r>
    </w:p>
    <w:p>
      <w:pPr>
        <w:spacing w:after="0" w:line="5" w:lineRule="exact"/>
        <w:rPr>
          <w:sz w:val="20"/>
          <w:szCs w:val="20"/>
          <w:color w:val="auto"/>
        </w:rPr>
      </w:pPr>
    </w:p>
    <w:p>
      <w:pPr>
        <w:ind w:left="886" w:right="2000"/>
        <w:spacing w:after="0" w:line="254" w:lineRule="auto"/>
        <w:rPr>
          <w:sz w:val="20"/>
          <w:szCs w:val="20"/>
          <w:color w:val="auto"/>
        </w:rPr>
      </w:pPr>
      <w:r>
        <w:rPr>
          <w:rFonts w:ascii="Courier New" w:cs="Courier New" w:eastAsia="Courier New" w:hAnsi="Courier New"/>
          <w:sz w:val="18"/>
          <w:szCs w:val="18"/>
          <w:color w:val="auto"/>
        </w:rPr>
        <w:t>This statement is being filed to report the fact that, as of the date of this report, the reporting person(s) has (have) ceased to be the beneficial owner of more than five percent of the class of securities.</w:t>
      </w:r>
    </w:p>
    <w:p>
      <w:pPr>
        <w:spacing w:after="0" w:line="201" w:lineRule="exact"/>
        <w:rPr>
          <w:sz w:val="20"/>
          <w:szCs w:val="20"/>
          <w:color w:val="auto"/>
        </w:rPr>
      </w:pPr>
    </w:p>
    <w:p>
      <w:pPr>
        <w:ind w:left="6"/>
        <w:spacing w:after="0"/>
        <w:rPr>
          <w:sz w:val="20"/>
          <w:szCs w:val="20"/>
          <w:color w:val="auto"/>
        </w:rPr>
      </w:pPr>
      <w:r>
        <w:rPr>
          <w:rFonts w:ascii="Courier New" w:cs="Courier New" w:eastAsia="Courier New" w:hAnsi="Courier New"/>
          <w:sz w:val="19"/>
          <w:szCs w:val="19"/>
          <w:color w:val="auto"/>
        </w:rPr>
        <w:t>Item 6: Ownership of More than Five Percent on Behalf of Another Person</w:t>
      </w:r>
    </w:p>
    <w:p>
      <w:pPr>
        <w:spacing w:after="0" w:line="219" w:lineRule="exact"/>
        <w:rPr>
          <w:sz w:val="20"/>
          <w:szCs w:val="20"/>
          <w:color w:val="auto"/>
        </w:rPr>
      </w:pPr>
    </w:p>
    <w:p>
      <w:pPr>
        <w:ind w:left="886" w:right="2120" w:hanging="886"/>
        <w:spacing w:after="0" w:line="253" w:lineRule="auto"/>
        <w:tabs>
          <w:tab w:leader="none" w:pos="886"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Price Associates does not serve as custodian of the assets of any of its clients; accordingly, in each instance only the client or the client's custodian or trustee bank has the right to receive dividends paid with respect to, and proceeds from the sale of, such securities.</w:t>
      </w:r>
    </w:p>
    <w:p>
      <w:pPr>
        <w:spacing w:after="0" w:line="209" w:lineRule="exact"/>
        <w:rPr>
          <w:rFonts w:ascii="Courier New" w:cs="Courier New" w:eastAsia="Courier New" w:hAnsi="Courier New"/>
          <w:sz w:val="18"/>
          <w:szCs w:val="18"/>
          <w:color w:val="auto"/>
        </w:rPr>
      </w:pPr>
    </w:p>
    <w:p>
      <w:pPr>
        <w:ind w:left="886" w:right="2120"/>
        <w:spacing w:after="0" w:line="237" w:lineRule="auto"/>
        <w:rPr>
          <w:rFonts w:ascii="Courier New" w:cs="Courier New" w:eastAsia="Courier New" w:hAnsi="Courier New"/>
          <w:sz w:val="18"/>
          <w:szCs w:val="18"/>
          <w:color w:val="auto"/>
        </w:rPr>
      </w:pPr>
      <w:r>
        <w:rPr>
          <w:rFonts w:ascii="Courier New" w:cs="Courier New" w:eastAsia="Courier New" w:hAnsi="Courier New"/>
          <w:sz w:val="19"/>
          <w:szCs w:val="19"/>
          <w:color w:val="auto"/>
        </w:rPr>
        <w:t>The ultimate power to direct the receipt of dividends paid with respect to, and the proceeds from the sale of, such securities, is vested in the individual and institutional clients which Price Associates serves as investment adviser. Any and all discretionary authority which has been delegated to Price Associates may be revoked in whole or in part at any time.</w:t>
      </w:r>
    </w:p>
    <w:p>
      <w:pPr>
        <w:spacing w:after="0" w:line="222" w:lineRule="exact"/>
        <w:rPr>
          <w:rFonts w:ascii="Courier New" w:cs="Courier New" w:eastAsia="Courier New" w:hAnsi="Courier New"/>
          <w:sz w:val="18"/>
          <w:szCs w:val="18"/>
          <w:color w:val="auto"/>
        </w:rPr>
      </w:pPr>
    </w:p>
    <w:p>
      <w:pPr>
        <w:ind w:left="886" w:right="2000"/>
        <w:spacing w:after="0" w:line="237" w:lineRule="auto"/>
        <w:rPr>
          <w:rFonts w:ascii="Courier New" w:cs="Courier New" w:eastAsia="Courier New" w:hAnsi="Courier New"/>
          <w:sz w:val="18"/>
          <w:szCs w:val="18"/>
          <w:color w:val="auto"/>
        </w:rPr>
      </w:pPr>
      <w:r>
        <w:rPr>
          <w:rFonts w:ascii="Courier New" w:cs="Courier New" w:eastAsia="Courier New" w:hAnsi="Courier New"/>
          <w:sz w:val="19"/>
          <w:szCs w:val="19"/>
          <w:color w:val="auto"/>
        </w:rPr>
        <w:t>Except as may be indicated if this is a joint filing with one of the registered investment companies sponsored by Price Associates which it also serves as investment adviser ("T. Rowe Price Funds"), not more than 5% of the class of such securities is owned by any one client subject to the investment advice of Price Associates.</w:t>
      </w:r>
    </w:p>
    <w:p>
      <w:pPr>
        <w:spacing w:after="0" w:line="220" w:lineRule="exact"/>
        <w:rPr>
          <w:rFonts w:ascii="Courier New" w:cs="Courier New" w:eastAsia="Courier New" w:hAnsi="Courier New"/>
          <w:sz w:val="18"/>
          <w:szCs w:val="18"/>
          <w:color w:val="auto"/>
        </w:rPr>
      </w:pPr>
    </w:p>
    <w:p>
      <w:pPr>
        <w:ind w:left="886" w:right="2000" w:hanging="886"/>
        <w:spacing w:after="0" w:line="237" w:lineRule="auto"/>
        <w:tabs>
          <w:tab w:leader="none" w:pos="886" w:val="left"/>
        </w:tabs>
        <w:numPr>
          <w:ilvl w:val="0"/>
          <w:numId w:val="6"/>
        </w:numPr>
        <w:rPr>
          <w:rFonts w:ascii="Courier New" w:cs="Courier New" w:eastAsia="Courier New" w:hAnsi="Courier New"/>
          <w:sz w:val="19"/>
          <w:szCs w:val="19"/>
          <w:color w:val="auto"/>
        </w:rPr>
      </w:pPr>
      <w:r>
        <w:rPr>
          <w:rFonts w:ascii="Courier New" w:cs="Courier New" w:eastAsia="Courier New" w:hAnsi="Courier New"/>
          <w:sz w:val="19"/>
          <w:szCs w:val="19"/>
          <w:color w:val="auto"/>
        </w:rPr>
        <w:t>With respect to securities owned by any one of the T. Rowe Price Funds, only the custodian for each of such Funds, has the right to receive dividends paid with respect to, and proceeds from the sale of, such securities. No other person is known to have such right, except that the shareholders of each such Fund participate proportionately in any dividends and distributions so paid.</w:t>
      </w:r>
    </w:p>
    <w:p>
      <w:pPr>
        <w:spacing w:after="0" w:line="222" w:lineRule="exact"/>
        <w:rPr>
          <w:sz w:val="20"/>
          <w:szCs w:val="20"/>
          <w:color w:val="auto"/>
        </w:rPr>
      </w:pPr>
    </w:p>
    <w:p>
      <w:pPr>
        <w:ind w:left="886" w:right="2000" w:hanging="889"/>
        <w:spacing w:after="0" w:line="235" w:lineRule="auto"/>
        <w:rPr>
          <w:sz w:val="20"/>
          <w:szCs w:val="20"/>
          <w:color w:val="auto"/>
        </w:rPr>
      </w:pPr>
      <w:r>
        <w:rPr>
          <w:rFonts w:ascii="Courier New" w:cs="Courier New" w:eastAsia="Courier New" w:hAnsi="Courier New"/>
          <w:sz w:val="19"/>
          <w:szCs w:val="19"/>
          <w:color w:val="auto"/>
        </w:rPr>
        <w:t>Item 7: Identification and Classification of the Subsidiary Which Acquired the Security Being Reported on By the Parent Holding Company.</w:t>
      </w:r>
    </w:p>
    <w:p>
      <w:pPr>
        <w:ind w:left="886"/>
        <w:spacing w:after="0"/>
        <w:rPr>
          <w:sz w:val="20"/>
          <w:szCs w:val="20"/>
          <w:color w:val="auto"/>
        </w:rPr>
      </w:pPr>
      <w:r>
        <w:rPr>
          <w:rFonts w:ascii="Courier New" w:cs="Courier New" w:eastAsia="Courier New" w:hAnsi="Courier New"/>
          <w:sz w:val="19"/>
          <w:szCs w:val="19"/>
          <w:color w:val="auto"/>
        </w:rPr>
        <w:t>Not Applicable</w:t>
      </w:r>
    </w:p>
    <w:p>
      <w:pPr>
        <w:spacing w:after="0" w:line="219" w:lineRule="exact"/>
        <w:rPr>
          <w:sz w:val="20"/>
          <w:szCs w:val="20"/>
          <w:color w:val="auto"/>
        </w:rPr>
      </w:pPr>
    </w:p>
    <w:p>
      <w:pPr>
        <w:ind w:left="886" w:right="3460" w:hanging="889"/>
        <w:spacing w:after="0" w:line="235" w:lineRule="auto"/>
        <w:rPr>
          <w:sz w:val="20"/>
          <w:szCs w:val="20"/>
          <w:color w:val="auto"/>
        </w:rPr>
      </w:pPr>
      <w:r>
        <w:rPr>
          <w:rFonts w:ascii="Courier New" w:cs="Courier New" w:eastAsia="Courier New" w:hAnsi="Courier New"/>
          <w:sz w:val="19"/>
          <w:szCs w:val="19"/>
          <w:color w:val="auto"/>
        </w:rPr>
        <w:t>Item 8: Identification and Classification of Members of the Group Not Applicable</w:t>
      </w:r>
    </w:p>
    <w:p>
      <w:pPr>
        <w:spacing w:after="0" w:line="213" w:lineRule="exact"/>
        <w:rPr>
          <w:sz w:val="20"/>
          <w:szCs w:val="20"/>
          <w:color w:val="auto"/>
        </w:rPr>
      </w:pPr>
    </w:p>
    <w:p>
      <w:pPr>
        <w:ind w:left="6"/>
        <w:spacing w:after="0"/>
        <w:rPr>
          <w:sz w:val="20"/>
          <w:szCs w:val="20"/>
          <w:color w:val="auto"/>
        </w:rPr>
      </w:pPr>
      <w:r>
        <w:rPr>
          <w:rFonts w:ascii="Courier New" w:cs="Courier New" w:eastAsia="Courier New" w:hAnsi="Courier New"/>
          <w:sz w:val="19"/>
          <w:szCs w:val="19"/>
          <w:color w:val="auto"/>
        </w:rPr>
        <w:t>Item 9: Notice of Dissolution of Group</w:t>
      </w:r>
    </w:p>
    <w:p>
      <w:pPr>
        <w:ind w:left="886"/>
        <w:spacing w:after="0" w:line="238" w:lineRule="auto"/>
        <w:rPr>
          <w:sz w:val="20"/>
          <w:szCs w:val="20"/>
          <w:color w:val="auto"/>
        </w:rPr>
      </w:pPr>
      <w:r>
        <w:rPr>
          <w:rFonts w:ascii="Courier New" w:cs="Courier New" w:eastAsia="Courier New" w:hAnsi="Courier New"/>
          <w:sz w:val="19"/>
          <w:szCs w:val="19"/>
          <w:color w:val="auto"/>
        </w:rPr>
        <w:t>Not Applicable</w:t>
      </w:r>
    </w:p>
    <w:p>
      <w:pPr>
        <w:spacing w:after="0" w:line="213" w:lineRule="exact"/>
        <w:rPr>
          <w:sz w:val="20"/>
          <w:szCs w:val="20"/>
          <w:color w:val="auto"/>
        </w:rPr>
      </w:pPr>
    </w:p>
    <w:p>
      <w:pPr>
        <w:ind w:left="6"/>
        <w:spacing w:after="0"/>
        <w:rPr>
          <w:sz w:val="20"/>
          <w:szCs w:val="20"/>
          <w:color w:val="auto"/>
        </w:rPr>
      </w:pPr>
      <w:r>
        <w:rPr>
          <w:rFonts w:ascii="Courier New" w:cs="Courier New" w:eastAsia="Courier New" w:hAnsi="Courier New"/>
          <w:sz w:val="19"/>
          <w:szCs w:val="19"/>
          <w:color w:val="auto"/>
        </w:rPr>
        <w:t>Item 10: Certification</w:t>
      </w:r>
    </w:p>
    <w:p>
      <w:pPr>
        <w:spacing w:after="0" w:line="5" w:lineRule="exact"/>
        <w:rPr>
          <w:sz w:val="20"/>
          <w:szCs w:val="20"/>
          <w:color w:val="auto"/>
        </w:rPr>
      </w:pPr>
    </w:p>
    <w:p>
      <w:pPr>
        <w:ind w:left="1006" w:right="2120"/>
        <w:spacing w:after="0" w:line="237" w:lineRule="auto"/>
        <w:rPr>
          <w:sz w:val="20"/>
          <w:szCs w:val="20"/>
          <w:color w:val="auto"/>
        </w:rPr>
      </w:pPr>
      <w:r>
        <w:rPr>
          <w:rFonts w:ascii="Courier New" w:cs="Courier New" w:eastAsia="Courier New" w:hAnsi="Courier New"/>
          <w:sz w:val="19"/>
          <w:szCs w:val="19"/>
          <w:color w:val="auto"/>
        </w:rPr>
        <w:t>By signing below I certify that, to the best of my knowledge and belief, the securities referred to above were acquired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 T. Rowe Price Associates, Inc. hereby declares and affirms that the filing</w:t>
      </w:r>
    </w:p>
    <w:p>
      <w:pPr>
        <w:spacing w:after="0" w:line="11" w:lineRule="exact"/>
        <w:rPr>
          <w:sz w:val="20"/>
          <w:szCs w:val="20"/>
          <w:color w:val="auto"/>
        </w:rPr>
      </w:pPr>
    </w:p>
    <w:p>
      <w:pPr>
        <w:jc w:val="both"/>
        <w:ind w:left="1006" w:right="2460"/>
        <w:spacing w:after="0" w:line="236" w:lineRule="auto"/>
        <w:rPr>
          <w:sz w:val="20"/>
          <w:szCs w:val="20"/>
          <w:color w:val="auto"/>
        </w:rPr>
      </w:pPr>
      <w:r>
        <w:rPr>
          <w:rFonts w:ascii="Courier New" w:cs="Courier New" w:eastAsia="Courier New" w:hAnsi="Courier New"/>
          <w:sz w:val="19"/>
          <w:szCs w:val="19"/>
          <w:color w:val="auto"/>
        </w:rPr>
        <w:t>of Schedule 13G shall not be construed as an admission that Price Associates is the beneficial owner of the securities referred to, which beneficial ownership is expressly denied.</w:t>
      </w:r>
    </w:p>
    <w:p>
      <w:pPr>
        <w:sectPr>
          <w:pgSz w:w="12240" w:h="15840" w:orient="portrait"/>
          <w:cols w:equalWidth="0" w:num="1">
            <w:col w:w="10686"/>
          </w:cols>
          <w:pgMar w:left="114" w:top="209" w:right="1440" w:bottom="0" w:gutter="0" w:footer="0" w:header="0"/>
        </w:sectPr>
      </w:pPr>
    </w:p>
    <w:bookmarkStart w:id="2" w:name="page3"/>
    <w:bookmarkEnd w:id="2"/>
    <w:p>
      <w:pPr>
        <w:ind w:left="1000"/>
        <w:spacing w:after="0" w:line="235" w:lineRule="auto"/>
        <w:rPr>
          <w:sz w:val="20"/>
          <w:szCs w:val="20"/>
          <w:color w:val="auto"/>
        </w:rPr>
      </w:pPr>
      <w:r>
        <w:rPr>
          <w:rFonts w:ascii="Courier New" w:cs="Courier New" w:eastAsia="Courier New" w:hAnsi="Courier New"/>
          <w:sz w:val="19"/>
          <w:szCs w:val="19"/>
          <w:color w:val="auto"/>
        </w:rPr>
        <w:t>Signature.</w:t>
      </w:r>
    </w:p>
    <w:p>
      <w:pPr>
        <w:spacing w:after="0" w:line="220" w:lineRule="exact"/>
        <w:rPr>
          <w:sz w:val="20"/>
          <w:szCs w:val="20"/>
          <w:color w:val="auto"/>
        </w:rPr>
      </w:pPr>
    </w:p>
    <w:p>
      <w:pPr>
        <w:jc w:val="both"/>
        <w:ind w:left="1000" w:right="2120"/>
        <w:spacing w:after="0" w:line="236" w:lineRule="auto"/>
        <w:rPr>
          <w:sz w:val="20"/>
          <w:szCs w:val="20"/>
          <w:color w:val="auto"/>
        </w:rPr>
      </w:pPr>
      <w:r>
        <w:rPr>
          <w:rFonts w:ascii="Courier New" w:cs="Courier New" w:eastAsia="Courier New" w:hAnsi="Courier New"/>
          <w:sz w:val="19"/>
          <w:szCs w:val="19"/>
          <w:color w:val="auto"/>
        </w:rPr>
        <w:t>After reasonable inquiry and to the best of my knowledge and belief, I certify that the information set forth in this statement is true, complete and correct.</w:t>
      </w:r>
    </w:p>
    <w:p>
      <w:pPr>
        <w:spacing w:after="0" w:line="214" w:lineRule="exact"/>
        <w:rPr>
          <w:sz w:val="20"/>
          <w:szCs w:val="20"/>
          <w:color w:val="auto"/>
        </w:rPr>
      </w:pPr>
    </w:p>
    <w:p>
      <w:pPr>
        <w:spacing w:after="0"/>
        <w:rPr>
          <w:sz w:val="20"/>
          <w:szCs w:val="20"/>
          <w:color w:val="auto"/>
        </w:rPr>
      </w:pPr>
      <w:r>
        <w:rPr>
          <w:rFonts w:ascii="Courier New" w:cs="Courier New" w:eastAsia="Courier New" w:hAnsi="Courier New"/>
          <w:sz w:val="19"/>
          <w:szCs w:val="19"/>
          <w:color w:val="auto"/>
        </w:rPr>
        <w:t>T. ROWE PRICE ASSOCIATES, INC.</w:t>
      </w:r>
    </w:p>
    <w:p>
      <w:pPr>
        <w:spacing w:after="0" w:line="238" w:lineRule="auto"/>
        <w:rPr>
          <w:sz w:val="20"/>
          <w:szCs w:val="20"/>
          <w:color w:val="auto"/>
        </w:rPr>
      </w:pPr>
      <w:r>
        <w:rPr>
          <w:rFonts w:ascii="Courier New" w:cs="Courier New" w:eastAsia="Courier New" w:hAnsi="Courier New"/>
          <w:sz w:val="19"/>
          <w:szCs w:val="19"/>
          <w:color w:val="auto"/>
        </w:rPr>
        <w:t>Date: February 14, 2019</w:t>
      </w:r>
    </w:p>
    <w:p>
      <w:pPr>
        <w:spacing w:after="0"/>
        <w:rPr>
          <w:sz w:val="20"/>
          <w:szCs w:val="20"/>
          <w:color w:val="auto"/>
        </w:rPr>
      </w:pPr>
      <w:r>
        <w:rPr>
          <w:rFonts w:ascii="Courier New" w:cs="Courier New" w:eastAsia="Courier New" w:hAnsi="Courier New"/>
          <w:sz w:val="19"/>
          <w:szCs w:val="19"/>
          <w:color w:val="auto"/>
        </w:rPr>
        <w:t>Signature: /s/ David Oestreicher</w:t>
      </w:r>
    </w:p>
    <w:p>
      <w:pPr>
        <w:spacing w:after="0" w:line="237" w:lineRule="auto"/>
        <w:rPr>
          <w:sz w:val="20"/>
          <w:szCs w:val="20"/>
          <w:color w:val="auto"/>
        </w:rPr>
      </w:pPr>
      <w:r>
        <w:rPr>
          <w:rFonts w:ascii="Courier New" w:cs="Courier New" w:eastAsia="Courier New" w:hAnsi="Courier New"/>
          <w:sz w:val="19"/>
          <w:szCs w:val="19"/>
          <w:color w:val="auto"/>
        </w:rPr>
        <w:t>Name &amp; Title: David Oestreicher, Vice President</w:t>
      </w:r>
    </w:p>
    <w:p>
      <w:pPr>
        <w:spacing w:after="0" w:line="213" w:lineRule="exact"/>
        <w:rPr>
          <w:sz w:val="20"/>
          <w:szCs w:val="20"/>
          <w:color w:val="auto"/>
        </w:rPr>
      </w:pPr>
    </w:p>
    <w:p>
      <w:pPr>
        <w:spacing w:after="0"/>
        <w:rPr>
          <w:sz w:val="20"/>
          <w:szCs w:val="20"/>
          <w:color w:val="auto"/>
        </w:rPr>
      </w:pPr>
      <w:r>
        <w:rPr>
          <w:rFonts w:ascii="Courier New" w:cs="Courier New" w:eastAsia="Courier New" w:hAnsi="Courier New"/>
          <w:sz w:val="19"/>
          <w:szCs w:val="19"/>
          <w:color w:val="auto"/>
        </w:rPr>
        <w:t>12/31/2018</w:t>
      </w:r>
    </w:p>
    <w:sectPr>
      <w:pgSz w:w="12240" w:h="15840" w:orient="portrait"/>
      <w:cols w:equalWidth="0" w:num="1">
        <w:col w:w="10680"/>
      </w:cols>
      <w:pgMar w:left="120" w:top="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2AE8944A"/>
    <w:multiLevelType w:val="hybridMultilevel"/>
    <w:lvl w:ilvl="0">
      <w:lvlJc w:val="left"/>
      <w:lvlText w:val="[%1]"/>
      <w:numFmt w:val="lowerRoman"/>
      <w:start w:val="10"/>
    </w:lvl>
  </w:abstractNum>
  <w:abstractNum w:abstractNumId="1">
    <w:nsid w:val="625558EC"/>
    <w:multiLevelType w:val="hybridMultilevel"/>
    <w:lvl w:ilvl="0">
      <w:lvlJc w:val="left"/>
      <w:lvlText w:val="%1."/>
      <w:numFmt w:val="decimal"/>
      <w:start w:val="1"/>
    </w:lvl>
  </w:abstractNum>
  <w:abstractNum w:abstractNumId="2">
    <w:nsid w:val="238E1F29"/>
    <w:multiLevelType w:val="hybridMultilevel"/>
    <w:lvl w:ilvl="0">
      <w:lvlJc w:val="left"/>
      <w:lvlText w:val="%1."/>
      <w:numFmt w:val="decimal"/>
      <w:start w:val="9"/>
    </w:lvl>
  </w:abstractNum>
  <w:abstractNum w:abstractNumId="3">
    <w:nsid w:val="46E87CCD"/>
    <w:multiLevelType w:val="hybridMultilevel"/>
    <w:lvl w:ilvl="0">
      <w:lvlJc w:val="left"/>
      <w:lvlText w:val="%1."/>
      <w:numFmt w:val="decimal"/>
      <w:start w:val="12"/>
    </w:lvl>
  </w:abstractNum>
  <w:abstractNum w:abstractNumId="4">
    <w:nsid w:val="3D1B58BA"/>
    <w:multiLevelType w:val="hybridMultilevel"/>
    <w:lvl w:ilvl="0">
      <w:lvlJc w:val="left"/>
      <w:lvlText w:val="X"/>
      <w:numFmt w:val="bullet"/>
      <w:start w:val="1"/>
    </w:lvl>
  </w:abstractNum>
  <w:abstractNum w:abstractNumId="5">
    <w:nsid w:val="507ED7AB"/>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2019-12-15T18:17:51Z</dcterms:created>
  <dcterms:modified xsi:type="dcterms:W3CDTF">2019-12-15T18:17:51Z</dcterms:modified>
</cp:coreProperties>
</file>