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Washington, D.C. 20549</w:t>
      </w:r>
    </w:p>
    <w:p>
      <w:pPr>
        <w:spacing w:after="0" w:line="205"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Schedule 13G</w:t>
      </w:r>
    </w:p>
    <w:p>
      <w:pPr>
        <w:spacing w:after="0" w:line="221"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Under the Securities Exchange Act of 1934</w:t>
      </w:r>
    </w:p>
    <w:p>
      <w:pPr>
        <w:spacing w:after="0" w:line="23"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(Amendment No.: 1 )*</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spacing w:after="0"/>
        <w:rPr>
          <w:sz w:val="20"/>
          <w:szCs w:val="20"/>
          <w:color w:val="auto"/>
        </w:rPr>
      </w:pPr>
      <w:r>
        <w:rPr>
          <w:rFonts w:ascii="Arial" w:cs="Arial" w:eastAsia="Arial" w:hAnsi="Arial"/>
          <w:sz w:val="18"/>
          <w:szCs w:val="18"/>
          <w:color w:val="auto"/>
        </w:rPr>
        <w:t>Name of issuer: Lantheus Holdings Inc</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8"/>
          <w:szCs w:val="18"/>
          <w:color w:val="auto"/>
        </w:rPr>
        <w:t>Title of Class of Securities: Common Stock</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8"/>
          <w:szCs w:val="18"/>
          <w:color w:val="auto"/>
        </w:rPr>
        <w:t>CUSIP Number: 516544103</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8"/>
          <w:szCs w:val="18"/>
          <w:color w:val="auto"/>
        </w:rPr>
        <w:t>Date of Event Which Requires Filing of this Statement: December 31, 2018</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3" w:lineRule="exact"/>
        <w:rPr>
          <w:sz w:val="24"/>
          <w:szCs w:val="24"/>
          <w:color w:val="auto"/>
        </w:rPr>
      </w:pPr>
    </w:p>
    <w:p>
      <w:pPr>
        <w:jc w:val="both"/>
        <w:ind w:left="80" w:right="10500" w:firstLine="4"/>
        <w:spacing w:after="0" w:line="299" w:lineRule="auto"/>
        <w:tabs>
          <w:tab w:leader="none" w:pos="376" w:val="left"/>
        </w:tabs>
        <w:numPr>
          <w:ilvl w:val="0"/>
          <w:numId w:val="1"/>
        </w:numPr>
        <w:rPr>
          <w:rFonts w:ascii="Arial" w:cs="Arial" w:eastAsia="Arial" w:hAnsi="Arial"/>
          <w:sz w:val="16"/>
          <w:szCs w:val="16"/>
          <w:color w:val="auto"/>
        </w:rPr>
      </w:pPr>
      <w:r>
        <w:rPr>
          <w:rFonts w:ascii="Arial" w:cs="Arial" w:eastAsia="Arial" w:hAnsi="Arial"/>
          <w:sz w:val="16"/>
          <w:szCs w:val="16"/>
          <w:color w:val="auto"/>
        </w:rPr>
        <w:t>Rule 13d-1(b) ( ) Rule 13d-1(c) ( ) Rule 13d-1(d)</w:t>
      </w:r>
    </w:p>
    <w:p>
      <w:pPr>
        <w:spacing w:after="0" w:line="152" w:lineRule="exact"/>
        <w:rPr>
          <w:sz w:val="24"/>
          <w:szCs w:val="24"/>
          <w:color w:val="auto"/>
        </w:rPr>
      </w:pPr>
    </w:p>
    <w:p>
      <w:pPr>
        <w:ind w:right="320" w:firstLine="90"/>
        <w:spacing w:after="0" w:line="275"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7" w:lineRule="exact"/>
        <w:rPr>
          <w:sz w:val="24"/>
          <w:szCs w:val="24"/>
          <w:color w:val="auto"/>
        </w:rPr>
      </w:pPr>
    </w:p>
    <w:p>
      <w:pPr>
        <w:ind w:firstLine="87"/>
        <w:spacing w:after="0" w:line="306" w:lineRule="auto"/>
        <w:rPr>
          <w:sz w:val="20"/>
          <w:szCs w:val="20"/>
          <w:color w:val="auto"/>
        </w:rPr>
      </w:pPr>
      <w:r>
        <w:rPr>
          <w:rFonts w:ascii="Arial" w:cs="Arial" w:eastAsia="Arial" w:hAnsi="Arial"/>
          <w:sz w:val="17"/>
          <w:szCs w:val="17"/>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57" w:lineRule="exact"/>
        <w:rPr>
          <w:sz w:val="24"/>
          <w:szCs w:val="24"/>
          <w:color w:val="auto"/>
        </w:rPr>
      </w:pPr>
    </w:p>
    <w:p>
      <w:pPr>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223520</wp:posOffset>
            </wp:positionV>
            <wp:extent cx="764667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46670" cy="21590"/>
                    </a:xfrm>
                    <a:prstGeom prst="rect">
                      <a:avLst/>
                    </a:prstGeom>
                    <a:noFill/>
                  </pic:spPr>
                </pic:pic>
              </a:graphicData>
            </a:graphic>
          </wp:anchor>
        </w:drawing>
      </w:r>
    </w:p>
    <w:p>
      <w:pPr>
        <w:sectPr>
          <w:pgSz w:w="12240" w:h="15840" w:orient="portrait"/>
          <w:cols w:equalWidth="0" w:num="1">
            <w:col w:w="11900"/>
          </w:cols>
          <w:pgMar w:left="120" w:top="94" w:right="220" w:bottom="1440" w:gutter="0" w:footer="0" w:header="0"/>
        </w:sectPr>
      </w:pPr>
    </w:p>
    <w:bookmarkStart w:id="1" w:name="page2"/>
    <w:bookmarkEnd w:id="1"/>
    <w:p>
      <w:pPr>
        <w:ind w:left="5846"/>
        <w:spacing w:after="0"/>
        <w:rPr>
          <w:sz w:val="20"/>
          <w:szCs w:val="20"/>
          <w:color w:val="auto"/>
        </w:rPr>
      </w:pPr>
      <w:r>
        <w:rPr>
          <w:rFonts w:ascii="Arial" w:cs="Arial" w:eastAsia="Arial" w:hAnsi="Arial"/>
          <w:sz w:val="18"/>
          <w:szCs w:val="18"/>
          <w:color w:val="auto"/>
        </w:rPr>
        <w:t>13G</w:t>
      </w:r>
    </w:p>
    <w:p>
      <w:pPr>
        <w:spacing w:after="0" w:line="23" w:lineRule="exact"/>
        <w:rPr>
          <w:sz w:val="20"/>
          <w:szCs w:val="20"/>
          <w:color w:val="auto"/>
        </w:rPr>
      </w:pPr>
    </w:p>
    <w:p>
      <w:pPr>
        <w:ind w:left="6"/>
        <w:spacing w:after="0"/>
        <w:rPr>
          <w:sz w:val="20"/>
          <w:szCs w:val="20"/>
          <w:color w:val="auto"/>
        </w:rPr>
      </w:pPr>
      <w:r>
        <w:rPr>
          <w:rFonts w:ascii="Arial" w:cs="Arial" w:eastAsia="Arial" w:hAnsi="Arial"/>
          <w:sz w:val="18"/>
          <w:szCs w:val="18"/>
          <w:color w:val="auto"/>
        </w:rPr>
        <w:t>CUSIP No.: 516544103</w:t>
      </w:r>
    </w:p>
    <w:p>
      <w:pPr>
        <w:spacing w:after="0" w:line="200" w:lineRule="exact"/>
        <w:rPr>
          <w:sz w:val="20"/>
          <w:szCs w:val="20"/>
          <w:color w:val="auto"/>
        </w:rPr>
      </w:pPr>
    </w:p>
    <w:p>
      <w:pPr>
        <w:spacing w:after="0" w:line="219" w:lineRule="exact"/>
        <w:rPr>
          <w:sz w:val="20"/>
          <w:szCs w:val="20"/>
          <w:color w:val="auto"/>
        </w:rPr>
      </w:pPr>
    </w:p>
    <w:p>
      <w:pPr>
        <w:ind w:left="226" w:hanging="226"/>
        <w:spacing w:after="0"/>
        <w:tabs>
          <w:tab w:leader="none" w:pos="226" w:val="left"/>
        </w:tabs>
        <w:numPr>
          <w:ilvl w:val="0"/>
          <w:numId w:val="2"/>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2" w:lineRule="exact"/>
        <w:rPr>
          <w:rFonts w:ascii="Arial" w:cs="Arial" w:eastAsia="Arial" w:hAnsi="Arial"/>
          <w:sz w:val="18"/>
          <w:szCs w:val="18"/>
          <w:color w:val="auto"/>
        </w:rPr>
      </w:pPr>
    </w:p>
    <w:p>
      <w:pPr>
        <w:ind w:left="86"/>
        <w:spacing w:after="0"/>
        <w:rPr>
          <w:rFonts w:ascii="Arial" w:cs="Arial" w:eastAsia="Arial" w:hAnsi="Arial"/>
          <w:sz w:val="18"/>
          <w:szCs w:val="18"/>
          <w:color w:val="auto"/>
        </w:rPr>
      </w:pPr>
      <w:r>
        <w:rPr>
          <w:rFonts w:ascii="Arial" w:cs="Arial" w:eastAsia="Arial" w:hAnsi="Arial"/>
          <w:sz w:val="18"/>
          <w:szCs w:val="18"/>
          <w:color w:val="auto"/>
        </w:rPr>
        <w:t>S.S. OR I.R.S. IDENTIFICATION NO. OF ABOVE PERSON</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26" w:hanging="226"/>
        <w:spacing w:after="0"/>
        <w:tabs>
          <w:tab w:leader="none" w:pos="226"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THE APPROPRIATE [LINE] IF A MEMBER OF A GROUP</w:t>
      </w:r>
    </w:p>
    <w:p>
      <w:pPr>
        <w:spacing w:after="0" w:line="220" w:lineRule="exact"/>
        <w:rPr>
          <w:rFonts w:ascii="Arial" w:cs="Arial" w:eastAsia="Arial" w:hAnsi="Arial"/>
          <w:sz w:val="18"/>
          <w:szCs w:val="18"/>
          <w:color w:val="auto"/>
        </w:rPr>
      </w:pPr>
    </w:p>
    <w:p>
      <w:pPr>
        <w:ind w:left="646" w:hanging="543"/>
        <w:spacing w:after="0"/>
        <w:tabs>
          <w:tab w:leader="none" w:pos="646" w:val="left"/>
        </w:tabs>
        <w:numPr>
          <w:ilvl w:val="1"/>
          <w:numId w:val="3"/>
        </w:numPr>
        <w:rPr>
          <w:rFonts w:ascii="Arial" w:cs="Arial" w:eastAsia="Arial" w:hAnsi="Arial"/>
          <w:sz w:val="18"/>
          <w:szCs w:val="18"/>
          <w:color w:val="auto"/>
        </w:rPr>
      </w:pPr>
      <w:r>
        <w:rPr>
          <w:rFonts w:ascii="Arial" w:cs="Arial" w:eastAsia="Arial" w:hAnsi="Arial"/>
          <w:sz w:val="18"/>
          <w:szCs w:val="18"/>
          <w:color w:val="auto"/>
        </w:rPr>
        <w:t>B.</w:t>
      </w:r>
    </w:p>
    <w:p>
      <w:pPr>
        <w:spacing w:after="0" w:line="22" w:lineRule="exact"/>
        <w:rPr>
          <w:rFonts w:ascii="Arial" w:cs="Arial" w:eastAsia="Arial" w:hAnsi="Arial"/>
          <w:sz w:val="18"/>
          <w:szCs w:val="18"/>
          <w:color w:val="auto"/>
        </w:rPr>
      </w:pPr>
    </w:p>
    <w:p>
      <w:pPr>
        <w:ind w:left="646"/>
        <w:spacing w:after="0"/>
        <w:rPr>
          <w:rFonts w:ascii="Arial" w:cs="Arial" w:eastAsia="Arial" w:hAnsi="Arial"/>
          <w:sz w:val="18"/>
          <w:szCs w:val="18"/>
          <w:color w:val="auto"/>
        </w:rPr>
      </w:pPr>
      <w:r>
        <w:rPr>
          <w:rFonts w:ascii="Arial" w:cs="Arial" w:eastAsia="Arial" w:hAnsi="Arial"/>
          <w:sz w:val="18"/>
          <w:szCs w:val="18"/>
          <w:u w:val="single" w:color="auto"/>
          <w:color w:val="auto"/>
        </w:rPr>
        <w:t>X</w:t>
      </w:r>
    </w:p>
    <w:p>
      <w:pPr>
        <w:spacing w:after="0" w:line="204" w:lineRule="exact"/>
        <w:rPr>
          <w:rFonts w:ascii="Arial" w:cs="Arial" w:eastAsia="Arial" w:hAnsi="Arial"/>
          <w:sz w:val="18"/>
          <w:szCs w:val="18"/>
          <w:color w:val="auto"/>
        </w:rPr>
      </w:pPr>
    </w:p>
    <w:p>
      <w:pPr>
        <w:ind w:left="226" w:hanging="226"/>
        <w:spacing w:after="0"/>
        <w:tabs>
          <w:tab w:leader="none" w:pos="226"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48" w:lineRule="exact"/>
        <w:rPr>
          <w:rFonts w:ascii="Arial" w:cs="Arial" w:eastAsia="Arial" w:hAnsi="Arial"/>
          <w:sz w:val="18"/>
          <w:szCs w:val="18"/>
          <w:color w:val="auto"/>
        </w:rPr>
      </w:pPr>
    </w:p>
    <w:p>
      <w:pPr>
        <w:ind w:left="226" w:hanging="226"/>
        <w:spacing w:after="0"/>
        <w:tabs>
          <w:tab w:leader="none" w:pos="226"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OF PLACE OF ORGANIZATION</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6"/>
        <w:spacing w:after="0"/>
        <w:rPr>
          <w:sz w:val="20"/>
          <w:szCs w:val="20"/>
          <w:color w:val="auto"/>
        </w:rPr>
      </w:pPr>
      <w:r>
        <w:rPr>
          <w:rFonts w:ascii="Arial" w:cs="Arial" w:eastAsia="Arial" w:hAnsi="Arial"/>
          <w:sz w:val="17"/>
          <w:szCs w:val="17"/>
          <w:color w:val="auto"/>
        </w:rPr>
        <w:t>(For questions 5-8, report the number of shares beneficially owned by each reporting person with:)</w:t>
      </w:r>
    </w:p>
    <w:p>
      <w:pPr>
        <w:spacing w:after="0" w:line="232" w:lineRule="exact"/>
        <w:rPr>
          <w:sz w:val="20"/>
          <w:szCs w:val="20"/>
          <w:color w:val="auto"/>
        </w:rPr>
      </w:pPr>
    </w:p>
    <w:p>
      <w:pPr>
        <w:ind w:left="86" w:right="8600" w:hanging="86"/>
        <w:spacing w:after="0" w:line="496" w:lineRule="auto"/>
        <w:tabs>
          <w:tab w:leader="none" w:pos="221" w:val="left"/>
        </w:tabs>
        <w:numPr>
          <w:ilvl w:val="0"/>
          <w:numId w:val="4"/>
        </w:numPr>
        <w:rPr>
          <w:rFonts w:ascii="Arial" w:cs="Arial" w:eastAsia="Arial" w:hAnsi="Arial"/>
          <w:sz w:val="18"/>
          <w:szCs w:val="18"/>
          <w:color w:val="auto"/>
        </w:rPr>
      </w:pPr>
      <w:r>
        <w:rPr>
          <w:rFonts w:ascii="Arial" w:cs="Arial" w:eastAsia="Arial" w:hAnsi="Arial"/>
          <w:sz w:val="18"/>
          <w:szCs w:val="18"/>
          <w:color w:val="auto"/>
        </w:rPr>
        <w:t>SOLE VOTING POWER 75,084</w:t>
      </w:r>
    </w:p>
    <w:p>
      <w:pPr>
        <w:ind w:left="86" w:right="8320" w:hanging="86"/>
        <w:spacing w:after="0" w:line="496" w:lineRule="auto"/>
        <w:tabs>
          <w:tab w:leader="none" w:pos="221" w:val="left"/>
        </w:tabs>
        <w:numPr>
          <w:ilvl w:val="0"/>
          <w:numId w:val="4"/>
        </w:numPr>
        <w:rPr>
          <w:rFonts w:ascii="Arial" w:cs="Arial" w:eastAsia="Arial" w:hAnsi="Arial"/>
          <w:sz w:val="18"/>
          <w:szCs w:val="18"/>
          <w:color w:val="auto"/>
        </w:rPr>
      </w:pPr>
      <w:r>
        <w:rPr>
          <w:rFonts w:ascii="Arial" w:cs="Arial" w:eastAsia="Arial" w:hAnsi="Arial"/>
          <w:sz w:val="18"/>
          <w:szCs w:val="18"/>
          <w:color w:val="auto"/>
        </w:rPr>
        <w:t>SHARED VOTING POWER 2,200</w:t>
      </w:r>
    </w:p>
    <w:p>
      <w:pPr>
        <w:ind w:left="86" w:right="8200" w:hanging="86"/>
        <w:spacing w:after="0" w:line="496" w:lineRule="auto"/>
        <w:tabs>
          <w:tab w:leader="none" w:pos="221" w:val="left"/>
        </w:tabs>
        <w:numPr>
          <w:ilvl w:val="0"/>
          <w:numId w:val="4"/>
        </w:numPr>
        <w:rPr>
          <w:rFonts w:ascii="Arial" w:cs="Arial" w:eastAsia="Arial" w:hAnsi="Arial"/>
          <w:sz w:val="18"/>
          <w:szCs w:val="18"/>
          <w:color w:val="auto"/>
        </w:rPr>
      </w:pPr>
      <w:r>
        <w:rPr>
          <w:rFonts w:ascii="Arial" w:cs="Arial" w:eastAsia="Arial" w:hAnsi="Arial"/>
          <w:sz w:val="18"/>
          <w:szCs w:val="18"/>
          <w:color w:val="auto"/>
        </w:rPr>
        <w:t>SOLE DISPOSITIVE POWER 2,290,712</w:t>
      </w:r>
    </w:p>
    <w:p>
      <w:pPr>
        <w:ind w:left="126" w:right="7920" w:hanging="126"/>
        <w:spacing w:after="0" w:line="496" w:lineRule="auto"/>
        <w:tabs>
          <w:tab w:leader="none" w:pos="216" w:val="left"/>
        </w:tabs>
        <w:numPr>
          <w:ilvl w:val="0"/>
          <w:numId w:val="4"/>
        </w:numPr>
        <w:rPr>
          <w:rFonts w:ascii="Arial" w:cs="Arial" w:eastAsia="Arial" w:hAnsi="Arial"/>
          <w:sz w:val="18"/>
          <w:szCs w:val="18"/>
          <w:color w:val="auto"/>
        </w:rPr>
      </w:pPr>
      <w:r>
        <w:rPr>
          <w:rFonts w:ascii="Arial" w:cs="Arial" w:eastAsia="Arial" w:hAnsi="Arial"/>
          <w:sz w:val="18"/>
          <w:szCs w:val="18"/>
          <w:color w:val="auto"/>
        </w:rPr>
        <w:t>SHARED DISPOSITIVE POWER 72,236</w:t>
      </w:r>
    </w:p>
    <w:p>
      <w:pPr>
        <w:ind w:left="86" w:right="3900" w:hanging="86"/>
        <w:spacing w:after="0" w:line="496" w:lineRule="auto"/>
        <w:tabs>
          <w:tab w:leader="none" w:pos="211" w:val="left"/>
        </w:tabs>
        <w:numPr>
          <w:ilvl w:val="0"/>
          <w:numId w:val="4"/>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2,362,948</w:t>
      </w:r>
    </w:p>
    <w:p>
      <w:pPr>
        <w:ind w:left="86" w:right="3280" w:hanging="86"/>
        <w:spacing w:after="0" w:line="496" w:lineRule="auto"/>
        <w:tabs>
          <w:tab w:leader="none" w:pos="312"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BOX IF THE AGGREGATE AMOUNT IN ROW (9) EXCLUDES CERTAIN SHARES N/A</w:t>
      </w:r>
    </w:p>
    <w:p>
      <w:pPr>
        <w:ind w:left="306" w:hanging="306"/>
        <w:spacing w:after="0"/>
        <w:tabs>
          <w:tab w:leader="none" w:pos="306" w:val="left"/>
        </w:tabs>
        <w:numPr>
          <w:ilvl w:val="0"/>
          <w:numId w:val="4"/>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21" w:lineRule="exact"/>
        <w:rPr>
          <w:sz w:val="20"/>
          <w:szCs w:val="20"/>
          <w:color w:val="auto"/>
        </w:rPr>
      </w:pPr>
    </w:p>
    <w:p>
      <w:pPr>
        <w:ind w:left="86"/>
        <w:spacing w:after="0"/>
        <w:rPr>
          <w:sz w:val="20"/>
          <w:szCs w:val="20"/>
          <w:color w:val="auto"/>
        </w:rPr>
      </w:pPr>
      <w:r>
        <w:rPr>
          <w:rFonts w:ascii="Arial" w:cs="Arial" w:eastAsia="Arial" w:hAnsi="Arial"/>
          <w:sz w:val="18"/>
          <w:szCs w:val="18"/>
          <w:color w:val="auto"/>
        </w:rPr>
        <w:t>6.14%</w:t>
      </w:r>
    </w:p>
    <w:p>
      <w:pPr>
        <w:spacing w:after="0" w:line="221" w:lineRule="exact"/>
        <w:rPr>
          <w:sz w:val="20"/>
          <w:szCs w:val="20"/>
          <w:color w:val="auto"/>
        </w:rPr>
      </w:pPr>
    </w:p>
    <w:p>
      <w:pPr>
        <w:ind w:left="306" w:hanging="306"/>
        <w:spacing w:after="0"/>
        <w:tabs>
          <w:tab w:leader="none" w:pos="306"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20" w:lineRule="exact"/>
        <w:rPr>
          <w:rFonts w:ascii="Arial" w:cs="Arial" w:eastAsia="Arial" w:hAnsi="Arial"/>
          <w:sz w:val="18"/>
          <w:szCs w:val="18"/>
          <w:color w:val="auto"/>
        </w:rPr>
      </w:pPr>
    </w:p>
    <w:p>
      <w:pPr>
        <w:ind w:left="86"/>
        <w:spacing w:after="0"/>
        <w:rPr>
          <w:rFonts w:ascii="Arial" w:cs="Arial" w:eastAsia="Arial" w:hAnsi="Arial"/>
          <w:sz w:val="18"/>
          <w:szCs w:val="18"/>
          <w:color w:val="auto"/>
        </w:rPr>
      </w:pPr>
      <w:r>
        <w:rPr>
          <w:rFonts w:ascii="Arial" w:cs="Arial" w:eastAsia="Arial" w:hAnsi="Arial"/>
          <w:sz w:val="18"/>
          <w:szCs w:val="18"/>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87630</wp:posOffset>
            </wp:positionV>
            <wp:extent cx="764667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46670" cy="21590"/>
                    </a:xfrm>
                    <a:prstGeom prst="rect">
                      <a:avLst/>
                    </a:prstGeom>
                    <a:noFill/>
                  </pic:spPr>
                </pic:pic>
              </a:graphicData>
            </a:graphic>
          </wp:anchor>
        </w:drawing>
      </w:r>
    </w:p>
    <w:p>
      <w:pPr>
        <w:sectPr>
          <w:pgSz w:w="12240" w:h="15840" w:orient="portrait"/>
          <w:cols w:equalWidth="0" w:num="1">
            <w:col w:w="10686"/>
          </w:cols>
          <w:pgMar w:left="114" w:top="236" w:right="1440" w:bottom="1440" w:gutter="0" w:footer="0" w:header="0"/>
        </w:sectPr>
      </w:pPr>
    </w:p>
    <w:bookmarkStart w:id="2" w:name="page3"/>
    <w:bookmarkEnd w:id="2"/>
    <w:p>
      <w:pPr>
        <w:jc w:val="center"/>
        <w:ind w:right="-131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jc w:val="center"/>
        <w:ind w:right="-1319"/>
        <w:spacing w:after="0"/>
        <w:rPr>
          <w:sz w:val="20"/>
          <w:szCs w:val="20"/>
          <w:color w:val="auto"/>
        </w:rPr>
      </w:pPr>
      <w:r>
        <w:rPr>
          <w:rFonts w:ascii="Arial" w:cs="Arial" w:eastAsia="Arial" w:hAnsi="Arial"/>
          <w:sz w:val="18"/>
          <w:szCs w:val="18"/>
          <w:color w:val="auto"/>
        </w:rPr>
        <w:t>Washington, D.C. 20549</w:t>
      </w:r>
    </w:p>
    <w:p>
      <w:pPr>
        <w:spacing w:after="0" w:line="205" w:lineRule="exact"/>
        <w:rPr>
          <w:sz w:val="20"/>
          <w:szCs w:val="20"/>
          <w:color w:val="auto"/>
        </w:rPr>
      </w:pPr>
    </w:p>
    <w:p>
      <w:pPr>
        <w:jc w:val="center"/>
        <w:ind w:right="-1319"/>
        <w:spacing w:after="0"/>
        <w:rPr>
          <w:sz w:val="20"/>
          <w:szCs w:val="20"/>
          <w:color w:val="auto"/>
        </w:rPr>
      </w:pPr>
      <w:r>
        <w:rPr>
          <w:rFonts w:ascii="Arial" w:cs="Arial" w:eastAsia="Arial" w:hAnsi="Arial"/>
          <w:sz w:val="18"/>
          <w:szCs w:val="18"/>
          <w:color w:val="auto"/>
        </w:rPr>
        <w:t>SCHEDULE 13G</w:t>
      </w:r>
    </w:p>
    <w:p>
      <w:pPr>
        <w:spacing w:after="0" w:line="23" w:lineRule="exact"/>
        <w:rPr>
          <w:sz w:val="20"/>
          <w:szCs w:val="20"/>
          <w:color w:val="auto"/>
        </w:rPr>
      </w:pPr>
    </w:p>
    <w:p>
      <w:pPr>
        <w:jc w:val="center"/>
        <w:ind w:right="-1319"/>
        <w:spacing w:after="0"/>
        <w:rPr>
          <w:sz w:val="20"/>
          <w:szCs w:val="20"/>
          <w:color w:val="auto"/>
        </w:rPr>
      </w:pPr>
      <w:r>
        <w:rPr>
          <w:rFonts w:ascii="Arial" w:cs="Arial" w:eastAsia="Arial" w:hAnsi="Arial"/>
          <w:sz w:val="18"/>
          <w:szCs w:val="18"/>
          <w:color w:val="auto"/>
        </w:rPr>
        <w:t>Under the Securities Act of 1934</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Check the following [line] if a fee is being paid with this statement  N/A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1(a) - Name of Issuer:</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Lantheus Holdings Inc</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1(b) - Address of Issuer's Principal Executive Offices:</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331 Treble Cove Road</w:t>
      </w:r>
    </w:p>
    <w:p>
      <w:pPr>
        <w:spacing w:after="0" w:line="23" w:lineRule="exact"/>
        <w:rPr>
          <w:sz w:val="20"/>
          <w:szCs w:val="20"/>
          <w:color w:val="auto"/>
        </w:rPr>
      </w:pPr>
    </w:p>
    <w:p>
      <w:pPr>
        <w:ind w:left="80"/>
        <w:spacing w:after="0"/>
        <w:rPr>
          <w:sz w:val="20"/>
          <w:szCs w:val="20"/>
          <w:color w:val="auto"/>
        </w:rPr>
      </w:pPr>
      <w:r>
        <w:rPr>
          <w:rFonts w:ascii="Arial" w:cs="Arial" w:eastAsia="Arial" w:hAnsi="Arial"/>
          <w:sz w:val="18"/>
          <w:szCs w:val="18"/>
          <w:color w:val="auto"/>
        </w:rPr>
        <w:t>North Billerica, MA 01862</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2(a) - Name of Person Filing:</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The Vanguard Group - 23-1945930</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2(b) – Address of Principal Business Office or, if none, residence:</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100 Vanguard Blvd.</w:t>
      </w:r>
    </w:p>
    <w:p>
      <w:pPr>
        <w:spacing w:after="0" w:line="23" w:lineRule="exact"/>
        <w:rPr>
          <w:sz w:val="20"/>
          <w:szCs w:val="20"/>
          <w:color w:val="auto"/>
        </w:rPr>
      </w:pPr>
    </w:p>
    <w:p>
      <w:pPr>
        <w:ind w:left="80"/>
        <w:spacing w:after="0"/>
        <w:rPr>
          <w:sz w:val="20"/>
          <w:szCs w:val="20"/>
          <w:color w:val="auto"/>
        </w:rPr>
      </w:pPr>
      <w:r>
        <w:rPr>
          <w:rFonts w:ascii="Arial" w:cs="Arial" w:eastAsia="Arial" w:hAnsi="Arial"/>
          <w:sz w:val="18"/>
          <w:szCs w:val="18"/>
          <w:color w:val="auto"/>
        </w:rPr>
        <w:t>Malvern, PA 19355</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2(c) – Citizenship:</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Pennsylvania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2(d) - Title of Class of Securities:</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Common Stock</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2(e) - CUSIP Number</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516544103</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3 - Type of Filing:</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6"/>
          <w:szCs w:val="16"/>
          <w:color w:val="auto"/>
        </w:rPr>
        <w:t>This statement is being filed pursuant to Rule 13d-1. An investment adviser in accordance with §240.13d-1(b)(1)(ii)(E).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4 - Ownership:</w:t>
      </w:r>
    </w:p>
    <w:p>
      <w:pPr>
        <w:spacing w:after="0" w:line="221" w:lineRule="exact"/>
        <w:rPr>
          <w:sz w:val="20"/>
          <w:szCs w:val="20"/>
          <w:color w:val="auto"/>
        </w:rPr>
      </w:pPr>
    </w:p>
    <w:p>
      <w:pPr>
        <w:ind w:left="80" w:right="8220" w:firstLine="4"/>
        <w:spacing w:after="0" w:line="496" w:lineRule="auto"/>
        <w:tabs>
          <w:tab w:leader="none" w:pos="325" w:val="left"/>
        </w:tabs>
        <w:numPr>
          <w:ilvl w:val="0"/>
          <w:numId w:val="6"/>
        </w:numPr>
        <w:rPr>
          <w:rFonts w:ascii="Arial" w:cs="Arial" w:eastAsia="Arial" w:hAnsi="Arial"/>
          <w:sz w:val="18"/>
          <w:szCs w:val="18"/>
          <w:color w:val="auto"/>
        </w:rPr>
      </w:pPr>
      <w:r>
        <w:rPr>
          <w:rFonts w:ascii="Arial" w:cs="Arial" w:eastAsia="Arial" w:hAnsi="Arial"/>
          <w:sz w:val="18"/>
          <w:szCs w:val="18"/>
          <w:color w:val="auto"/>
        </w:rPr>
        <w:t>Amount Beneficially Owned: 2,362,948</w:t>
      </w:r>
    </w:p>
    <w:p>
      <w:pPr>
        <w:ind w:left="340" w:hanging="256"/>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6.14%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87630</wp:posOffset>
            </wp:positionV>
            <wp:extent cx="764667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646670" cy="21590"/>
                    </a:xfrm>
                    <a:prstGeom prst="rect">
                      <a:avLst/>
                    </a:prstGeom>
                    <a:noFill/>
                  </pic:spPr>
                </pic:pic>
              </a:graphicData>
            </a:graphic>
          </wp:anchor>
        </w:drawing>
      </w:r>
    </w:p>
    <w:p>
      <w:pPr>
        <w:sectPr>
          <w:pgSz w:w="12240" w:h="15840" w:orient="portrait"/>
          <w:cols w:equalWidth="0" w:num="1">
            <w:col w:w="10680"/>
          </w:cols>
          <w:pgMar w:left="120" w:top="236" w:right="1440" w:bottom="1440" w:gutter="0" w:footer="0" w:header="0"/>
        </w:sectPr>
      </w:pPr>
    </w:p>
    <w:bookmarkStart w:id="3" w:name="page4"/>
    <w:bookmarkEnd w:id="3"/>
    <w:p>
      <w:pPr>
        <w:ind w:left="380" w:hanging="296"/>
        <w:spacing w:after="0"/>
        <w:tabs>
          <w:tab w:leader="none" w:pos="380" w:val="left"/>
        </w:tabs>
        <w:numPr>
          <w:ilvl w:val="0"/>
          <w:numId w:val="7"/>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0" w:lineRule="exact"/>
        <w:rPr>
          <w:rFonts w:ascii="Arial" w:cs="Arial" w:eastAsia="Arial" w:hAnsi="Arial"/>
          <w:sz w:val="18"/>
          <w:szCs w:val="18"/>
          <w:color w:val="auto"/>
        </w:rPr>
      </w:pPr>
    </w:p>
    <w:p>
      <w:pPr>
        <w:ind w:left="340" w:hanging="256"/>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sole power to vote or direct to vote: 75,084</w:t>
      </w:r>
    </w:p>
    <w:p>
      <w:pPr>
        <w:spacing w:after="0" w:line="220" w:lineRule="exact"/>
        <w:rPr>
          <w:rFonts w:ascii="Arial" w:cs="Arial" w:eastAsia="Arial" w:hAnsi="Arial"/>
          <w:sz w:val="18"/>
          <w:szCs w:val="18"/>
          <w:color w:val="auto"/>
        </w:rPr>
      </w:pPr>
    </w:p>
    <w:p>
      <w:pPr>
        <w:ind w:left="400" w:hanging="316"/>
        <w:spacing w:after="0"/>
        <w:tabs>
          <w:tab w:leader="none" w:pos="4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shared power to vote or direct to vote: 2,200</w:t>
      </w:r>
    </w:p>
    <w:p>
      <w:pPr>
        <w:spacing w:after="0" w:line="220" w:lineRule="exact"/>
        <w:rPr>
          <w:rFonts w:ascii="Arial" w:cs="Arial" w:eastAsia="Arial" w:hAnsi="Arial"/>
          <w:sz w:val="18"/>
          <w:szCs w:val="18"/>
          <w:color w:val="auto"/>
        </w:rPr>
      </w:pPr>
    </w:p>
    <w:p>
      <w:pPr>
        <w:ind w:left="80" w:right="6620" w:firstLine="4"/>
        <w:spacing w:after="0" w:line="558" w:lineRule="auto"/>
        <w:tabs>
          <w:tab w:leader="none" w:pos="441" w:val="left"/>
        </w:tabs>
        <w:numPr>
          <w:ilvl w:val="0"/>
          <w:numId w:val="10"/>
        </w:numPr>
        <w:rPr>
          <w:rFonts w:ascii="Arial" w:cs="Arial" w:eastAsia="Arial" w:hAnsi="Arial"/>
          <w:sz w:val="16"/>
          <w:szCs w:val="16"/>
          <w:color w:val="auto"/>
        </w:rPr>
      </w:pPr>
      <w:r>
        <w:rPr>
          <w:rFonts w:ascii="Arial" w:cs="Arial" w:eastAsia="Arial" w:hAnsi="Arial"/>
          <w:sz w:val="16"/>
          <w:szCs w:val="16"/>
          <w:color w:val="auto"/>
        </w:rPr>
        <w:t>sole power to dispose of or to direct the disposition of: 2,290,712 (iv) shared power to dispose or to direct the disposition of: 72,236</w:t>
      </w:r>
    </w:p>
    <w:p>
      <w:pPr>
        <w:spacing w:after="0"/>
        <w:rPr>
          <w:sz w:val="20"/>
          <w:szCs w:val="20"/>
          <w:color w:val="auto"/>
        </w:rPr>
      </w:pPr>
      <w:r>
        <w:rPr>
          <w:rFonts w:ascii="Arial" w:cs="Arial" w:eastAsia="Arial" w:hAnsi="Arial"/>
          <w:sz w:val="18"/>
          <w:szCs w:val="18"/>
          <w:u w:val="single" w:color="auto"/>
          <w:color w:val="auto"/>
        </w:rPr>
        <w:t>Comments:</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5 - Ownership of Five Percent or Less of a Class:</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6 - Ownership of More Than Five Percent on Behalf of Another Person:</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7 - Identification and Classification of the Subsidiary Which Acquired The Security Being Reported on by the Parent Holding Company</w:t>
      </w:r>
      <w:r>
        <w:rPr>
          <w:rFonts w:ascii="Arial" w:cs="Arial" w:eastAsia="Arial" w:hAnsi="Arial"/>
          <w:sz w:val="18"/>
          <w:szCs w:val="18"/>
          <w:color w:val="auto"/>
        </w:rPr>
        <w:t>:</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See Attached Appendix 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8 - Identification and Classification of Members of Group:</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9 - Notice of Dissolution of Group:</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10 - Certification:</w:t>
      </w:r>
    </w:p>
    <w:p>
      <w:pPr>
        <w:spacing w:after="0" w:line="221" w:lineRule="exact"/>
        <w:rPr>
          <w:sz w:val="20"/>
          <w:szCs w:val="20"/>
          <w:color w:val="auto"/>
        </w:rPr>
      </w:pPr>
    </w:p>
    <w:p>
      <w:pPr>
        <w:jc w:val="both"/>
        <w:ind w:firstLine="90"/>
        <w:spacing w:after="0" w:line="261"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w:t>
      </w:r>
    </w:p>
    <w:p>
      <w:pPr>
        <w:spacing w:after="0" w:line="221" w:lineRule="exact"/>
        <w:rPr>
          <w:sz w:val="20"/>
          <w:szCs w:val="20"/>
          <w:color w:val="auto"/>
        </w:rPr>
      </w:pPr>
    </w:p>
    <w:p>
      <w:pPr>
        <w:ind w:left="80"/>
        <w:spacing w:after="0"/>
        <w:rPr>
          <w:sz w:val="20"/>
          <w:szCs w:val="20"/>
          <w:color w:val="auto"/>
        </w:rPr>
      </w:pPr>
      <w:r>
        <w:rPr>
          <w:rFonts w:ascii="Arial" w:cs="Arial" w:eastAsia="Arial" w:hAnsi="Arial"/>
          <w:sz w:val="17"/>
          <w:szCs w:val="17"/>
          <w:color w:val="auto"/>
        </w:rPr>
        <w:t>After reasonable inquiry and to the best of my knowledge and belief, I certify that the information set forth in this statement is true, complete and correct.</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Date: 02/11/2019</w:t>
      </w:r>
    </w:p>
    <w:p>
      <w:pPr>
        <w:spacing w:after="0" w:line="227" w:lineRule="exact"/>
        <w:rPr>
          <w:sz w:val="20"/>
          <w:szCs w:val="20"/>
          <w:color w:val="auto"/>
        </w:rPr>
      </w:pPr>
    </w:p>
    <w:p>
      <w:pPr>
        <w:ind w:left="4100"/>
        <w:spacing w:after="0"/>
        <w:rPr>
          <w:sz w:val="20"/>
          <w:szCs w:val="20"/>
          <w:color w:val="auto"/>
        </w:rPr>
      </w:pPr>
      <w:r>
        <w:rPr>
          <w:rFonts w:ascii="Arial" w:cs="Arial" w:eastAsia="Arial" w:hAnsi="Arial"/>
          <w:sz w:val="19"/>
          <w:szCs w:val="19"/>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2745105</wp:posOffset>
            </wp:positionH>
            <wp:positionV relativeFrom="paragraph">
              <wp:posOffset>-11430</wp:posOffset>
            </wp:positionV>
            <wp:extent cx="129730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97305" cy="8890"/>
                    </a:xfrm>
                    <a:prstGeom prst="rect">
                      <a:avLst/>
                    </a:prstGeom>
                    <a:noFill/>
                  </pic:spPr>
                </pic:pic>
              </a:graphicData>
            </a:graphic>
          </wp:anchor>
        </w:drawing>
      </w:r>
    </w:p>
    <w:p>
      <w:pPr>
        <w:spacing w:after="0" w:line="3" w:lineRule="exact"/>
        <w:rPr>
          <w:sz w:val="20"/>
          <w:szCs w:val="20"/>
          <w:color w:val="auto"/>
        </w:rPr>
      </w:pPr>
    </w:p>
    <w:p>
      <w:pPr>
        <w:ind w:left="4100"/>
        <w:spacing w:after="0"/>
        <w:rPr>
          <w:sz w:val="20"/>
          <w:szCs w:val="20"/>
          <w:color w:val="auto"/>
        </w:rPr>
      </w:pPr>
      <w:r>
        <w:rPr>
          <w:rFonts w:ascii="Arial" w:cs="Arial" w:eastAsia="Arial" w:hAnsi="Arial"/>
          <w:sz w:val="19"/>
          <w:szCs w:val="19"/>
          <w:color w:val="auto"/>
        </w:rPr>
        <w:t>Name: Christine M. Buchanan</w:t>
      </w:r>
    </w:p>
    <w:p>
      <w:pPr>
        <w:spacing w:after="0" w:line="10" w:lineRule="exact"/>
        <w:rPr>
          <w:sz w:val="20"/>
          <w:szCs w:val="20"/>
          <w:color w:val="auto"/>
        </w:rPr>
      </w:pPr>
    </w:p>
    <w:p>
      <w:pPr>
        <w:ind w:left="4100"/>
        <w:spacing w:after="0"/>
        <w:rPr>
          <w:sz w:val="20"/>
          <w:szCs w:val="20"/>
          <w:color w:val="auto"/>
        </w:rPr>
      </w:pPr>
      <w:r>
        <w:rPr>
          <w:rFonts w:ascii="Arial" w:cs="Arial" w:eastAsia="Arial" w:hAnsi="Arial"/>
          <w:sz w:val="19"/>
          <w:szCs w:val="19"/>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349250</wp:posOffset>
            </wp:positionV>
            <wp:extent cx="764667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46670" cy="21590"/>
                    </a:xfrm>
                    <a:prstGeom prst="rect">
                      <a:avLst/>
                    </a:prstGeom>
                    <a:noFill/>
                  </pic:spPr>
                </pic:pic>
              </a:graphicData>
            </a:graphic>
          </wp:anchor>
        </w:drawing>
      </w:r>
    </w:p>
    <w:p>
      <w:pPr>
        <w:sectPr>
          <w:pgSz w:w="12240" w:h="15840" w:orient="portrait"/>
          <w:cols w:equalWidth="0" w:num="1">
            <w:col w:w="11820"/>
          </w:cols>
          <w:pgMar w:left="120" w:top="236" w:right="300"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Appendix A</w:t>
      </w:r>
    </w:p>
    <w:p>
      <w:pPr>
        <w:spacing w:after="0" w:line="221" w:lineRule="exact"/>
        <w:rPr>
          <w:sz w:val="20"/>
          <w:szCs w:val="20"/>
          <w:color w:val="auto"/>
        </w:rPr>
      </w:pPr>
    </w:p>
    <w:p>
      <w:pPr>
        <w:ind w:firstLine="42"/>
        <w:spacing w:after="0" w:line="275" w:lineRule="auto"/>
        <w:rPr>
          <w:sz w:val="20"/>
          <w:szCs w:val="20"/>
          <w:color w:val="auto"/>
        </w:rPr>
      </w:pPr>
      <w:r>
        <w:rPr>
          <w:rFonts w:ascii="Arial" w:cs="Arial" w:eastAsia="Arial" w:hAnsi="Arial"/>
          <w:sz w:val="18"/>
          <w:szCs w:val="18"/>
          <w:color w:val="auto"/>
        </w:rPr>
        <w:t>Vanguard Fiduciary Trust Company ("VFTC"), a wholly-owned subsidiary of The Vanguard Group, Inc., is the beneficial owner of 70,036 shares or .18% of the Common Stock outstanding of the Company as a result of its serving as investment manager of collective trust accounts.</w:t>
      </w:r>
    </w:p>
    <w:p>
      <w:pPr>
        <w:spacing w:after="0" w:line="167" w:lineRule="exact"/>
        <w:rPr>
          <w:sz w:val="20"/>
          <w:szCs w:val="20"/>
          <w:color w:val="auto"/>
        </w:rPr>
      </w:pPr>
    </w:p>
    <w:p>
      <w:pPr>
        <w:ind w:right="160"/>
        <w:spacing w:after="0" w:line="275" w:lineRule="auto"/>
        <w:rPr>
          <w:sz w:val="20"/>
          <w:szCs w:val="20"/>
          <w:color w:val="auto"/>
        </w:rPr>
      </w:pPr>
      <w:r>
        <w:rPr>
          <w:rFonts w:ascii="Arial" w:cs="Arial" w:eastAsia="Arial" w:hAnsi="Arial"/>
          <w:sz w:val="18"/>
          <w:szCs w:val="18"/>
          <w:color w:val="auto"/>
        </w:rPr>
        <w:t>Vanguard Investments Australia, Ltd. ("VIA"), a wholly-owned subsidiary of The Vanguard Group, Inc., is the beneficial owner of 7,248 shares or .01% of the Common Stock outstanding of the Company as a result of its serving as investment manager of Australian investment offerings.</w:t>
      </w:r>
    </w:p>
    <w:sectPr>
      <w:pgSz w:w="12240" w:h="15840" w:orient="portrait"/>
      <w:cols w:equalWidth="0" w:num="1">
        <w:col w:w="11700"/>
      </w:cols>
      <w:pgMar w:left="120" w:top="236" w:right="4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2"/>
    </w:lvl>
    <w:lvl w:ilvl="1">
      <w:lvlJc w:val="left"/>
      <w:lvlText w:val="%2."/>
      <w:numFmt w:val="upperLetter"/>
      <w:start w:val="1"/>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2019-12-15T16:56:16Z</dcterms:created>
  <dcterms:modified xsi:type="dcterms:W3CDTF">2019-12-15T16:56:16Z</dcterms:modified>
</cp:coreProperties>
</file>